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F7F3F" w14:textId="77777777" w:rsidR="0045426F" w:rsidRDefault="00FE0AF7" w:rsidP="0045426F">
      <w:pPr>
        <w:pStyle w:val="BodyText"/>
        <w:kinsoku w:val="0"/>
        <w:overflowPunct w:val="0"/>
        <w:rPr>
          <w:b/>
          <w:color w:val="000000" w:themeColor="text1"/>
          <w:w w:val="90"/>
          <w:sz w:val="28"/>
          <w:szCs w:val="28"/>
        </w:rPr>
      </w:pPr>
      <w:r w:rsidRPr="001B3918">
        <w:rPr>
          <w:b/>
          <w:color w:val="000000" w:themeColor="text1"/>
          <w:w w:val="90"/>
          <w:sz w:val="28"/>
          <w:szCs w:val="28"/>
        </w:rPr>
        <w:t>WHO WE ARE</w:t>
      </w:r>
      <w:r w:rsidR="00192B28" w:rsidRPr="001B3918">
        <w:rPr>
          <w:b/>
          <w:color w:val="000000" w:themeColor="text1"/>
          <w:w w:val="90"/>
          <w:sz w:val="28"/>
          <w:szCs w:val="28"/>
        </w:rPr>
        <w:t xml:space="preserve">: </w:t>
      </w:r>
      <w:r w:rsidR="001B3918" w:rsidRPr="001B3918">
        <w:rPr>
          <w:b/>
          <w:color w:val="000000" w:themeColor="text1"/>
          <w:w w:val="90"/>
          <w:sz w:val="28"/>
          <w:szCs w:val="28"/>
        </w:rPr>
        <w:t xml:space="preserve">Health Sciences </w:t>
      </w:r>
      <w:proofErr w:type="gramStart"/>
      <w:r w:rsidR="001B3918" w:rsidRPr="001B3918">
        <w:rPr>
          <w:b/>
          <w:color w:val="000000" w:themeColor="text1"/>
          <w:w w:val="90"/>
          <w:sz w:val="28"/>
          <w:szCs w:val="28"/>
        </w:rPr>
        <w:t>Department</w:t>
      </w:r>
      <w:proofErr w:type="gramEnd"/>
    </w:p>
    <w:p w14:paraId="562C21F7" w14:textId="77777777" w:rsidR="0045426F" w:rsidRDefault="0045426F" w:rsidP="0045426F">
      <w:pPr>
        <w:pStyle w:val="BodyText"/>
        <w:kinsoku w:val="0"/>
        <w:overflowPunct w:val="0"/>
        <w:rPr>
          <w:b/>
          <w:color w:val="000000" w:themeColor="text1"/>
          <w:w w:val="90"/>
          <w:sz w:val="28"/>
          <w:szCs w:val="28"/>
        </w:rPr>
      </w:pPr>
    </w:p>
    <w:p w14:paraId="31FF8640" w14:textId="5711851A" w:rsidR="001B3918" w:rsidRPr="0045426F" w:rsidRDefault="001B3918" w:rsidP="008B546D">
      <w:pPr>
        <w:pStyle w:val="BodyText"/>
        <w:kinsoku w:val="0"/>
        <w:overflowPunct w:val="0"/>
        <w:jc w:val="both"/>
        <w:rPr>
          <w:b/>
          <w:color w:val="000000" w:themeColor="text1"/>
          <w:w w:val="90"/>
          <w:sz w:val="28"/>
          <w:szCs w:val="28"/>
        </w:rPr>
      </w:pPr>
      <w:r w:rsidRPr="001B3918">
        <w:rPr>
          <w:color w:val="000000" w:themeColor="text1"/>
          <w:w w:val="90"/>
        </w:rPr>
        <w:t>As a member of the Health Sciences Department, you will join a group of students who are part of the School of Professional Studies at New York City College of Technology, City University of New York.</w:t>
      </w:r>
    </w:p>
    <w:p w14:paraId="36384837" w14:textId="7F8983D4" w:rsidR="00FE0AF7" w:rsidRPr="001B3918" w:rsidRDefault="00FE0AF7" w:rsidP="001B3918">
      <w:pPr>
        <w:pStyle w:val="BodyText"/>
        <w:kinsoku w:val="0"/>
        <w:overflowPunct w:val="0"/>
        <w:jc w:val="both"/>
        <w:rPr>
          <w:b/>
          <w:bCs/>
          <w:color w:val="000000" w:themeColor="text1"/>
          <w:w w:val="90"/>
        </w:rPr>
      </w:pPr>
    </w:p>
    <w:p w14:paraId="0BE9B59B" w14:textId="77777777" w:rsidR="0045426F" w:rsidRDefault="0045426F" w:rsidP="0045426F">
      <w:pPr>
        <w:pStyle w:val="ListParagraph"/>
        <w:ind w:left="0"/>
        <w:jc w:val="both"/>
        <w:rPr>
          <w:rFonts w:ascii="Century Gothic" w:hAnsi="Century Gothic"/>
          <w:b/>
          <w:bCs/>
          <w:color w:val="000000" w:themeColor="text1"/>
          <w:w w:val="90"/>
          <w:sz w:val="24"/>
          <w:szCs w:val="24"/>
        </w:rPr>
      </w:pPr>
    </w:p>
    <w:p w14:paraId="56C46440" w14:textId="13284B9E" w:rsidR="0045426F" w:rsidRDefault="00192B28" w:rsidP="0045426F">
      <w:pPr>
        <w:pStyle w:val="ListParagraph"/>
        <w:ind w:left="0"/>
        <w:jc w:val="both"/>
        <w:rPr>
          <w:rFonts w:ascii="Century Gothic" w:hAnsi="Century Gothic"/>
          <w:color w:val="000000" w:themeColor="text1"/>
          <w:spacing w:val="-12"/>
          <w:w w:val="90"/>
          <w:sz w:val="24"/>
          <w:szCs w:val="24"/>
        </w:rPr>
      </w:pPr>
      <w:r w:rsidRPr="001B3918">
        <w:rPr>
          <w:rFonts w:ascii="Century Gothic" w:hAnsi="Century Gothic"/>
          <w:b/>
          <w:bCs/>
          <w:color w:val="000000" w:themeColor="text1"/>
          <w:w w:val="90"/>
          <w:sz w:val="24"/>
          <w:szCs w:val="24"/>
        </w:rPr>
        <w:t xml:space="preserve">The </w:t>
      </w:r>
      <w:r w:rsidR="0087083F" w:rsidRPr="001B3918">
        <w:rPr>
          <w:rFonts w:ascii="Century Gothic" w:hAnsi="Century Gothic"/>
          <w:b/>
          <w:bCs/>
          <w:color w:val="000000" w:themeColor="text1"/>
          <w:w w:val="90"/>
          <w:sz w:val="24"/>
          <w:szCs w:val="24"/>
        </w:rPr>
        <w:t>Mission</w:t>
      </w:r>
      <w:r w:rsidRPr="001B3918">
        <w:rPr>
          <w:rFonts w:ascii="Century Gothic" w:hAnsi="Century Gothic"/>
          <w:b/>
          <w:bCs/>
          <w:color w:val="000000" w:themeColor="text1"/>
          <w:w w:val="90"/>
          <w:sz w:val="24"/>
          <w:szCs w:val="24"/>
        </w:rPr>
        <w:t xml:space="preserve"> of the Department</w:t>
      </w:r>
      <w:r w:rsidR="0087083F" w:rsidRPr="001B3918">
        <w:rPr>
          <w:rFonts w:ascii="Century Gothic" w:hAnsi="Century Gothic"/>
          <w:b/>
          <w:bCs/>
          <w:color w:val="000000" w:themeColor="text1"/>
          <w:w w:val="90"/>
          <w:sz w:val="24"/>
          <w:szCs w:val="24"/>
        </w:rPr>
        <w:t>:</w:t>
      </w:r>
    </w:p>
    <w:p w14:paraId="7FB66407" w14:textId="77777777" w:rsidR="0045426F" w:rsidRDefault="0045426F" w:rsidP="0045426F">
      <w:pPr>
        <w:pStyle w:val="ListParagraph"/>
        <w:ind w:left="0"/>
        <w:jc w:val="both"/>
        <w:rPr>
          <w:rFonts w:ascii="Century Gothic" w:hAnsi="Century Gothic"/>
          <w:color w:val="000000" w:themeColor="text1"/>
          <w:spacing w:val="-12"/>
          <w:w w:val="90"/>
          <w:sz w:val="24"/>
          <w:szCs w:val="24"/>
        </w:rPr>
      </w:pPr>
    </w:p>
    <w:p w14:paraId="5E91313F" w14:textId="04C839F6" w:rsidR="008E63C6" w:rsidRPr="008E63C6" w:rsidRDefault="008E63C6" w:rsidP="0045426F">
      <w:pPr>
        <w:pStyle w:val="ListParagraph"/>
        <w:ind w:left="0"/>
        <w:jc w:val="both"/>
        <w:rPr>
          <w:rFonts w:ascii="Century Gothic" w:hAnsi="Century Gothic"/>
          <w:color w:val="000000" w:themeColor="text1"/>
          <w:spacing w:val="-12"/>
          <w:w w:val="90"/>
          <w:sz w:val="24"/>
          <w:szCs w:val="24"/>
        </w:rPr>
      </w:pPr>
      <w:r w:rsidRPr="008E63C6">
        <w:rPr>
          <w:rFonts w:ascii="Century Gothic" w:eastAsia="Times New Roman" w:hAnsi="Century Gothic" w:cs="Calibri"/>
          <w:color w:val="000000"/>
          <w:sz w:val="24"/>
          <w:szCs w:val="24"/>
        </w:rPr>
        <w:t>The Health Sciences department currently offers two degrees</w:t>
      </w:r>
      <w:r w:rsidR="008B546D">
        <w:rPr>
          <w:rFonts w:ascii="Century Gothic" w:eastAsia="Times New Roman" w:hAnsi="Century Gothic" w:cs="Calibri"/>
          <w:color w:val="000000"/>
          <w:sz w:val="24"/>
          <w:szCs w:val="24"/>
        </w:rPr>
        <w:t>,</w:t>
      </w:r>
      <w:r w:rsidRPr="008E63C6">
        <w:rPr>
          <w:rFonts w:ascii="Century Gothic" w:eastAsia="Times New Roman" w:hAnsi="Century Gothic" w:cs="Calibri"/>
          <w:color w:val="000000"/>
          <w:sz w:val="24"/>
          <w:szCs w:val="24"/>
        </w:rPr>
        <w:t xml:space="preserve"> with a third under development and expected in the Spring </w:t>
      </w:r>
      <w:r w:rsidR="0045426F">
        <w:rPr>
          <w:rFonts w:ascii="Century Gothic" w:eastAsia="Times New Roman" w:hAnsi="Century Gothic" w:cs="Calibri"/>
          <w:color w:val="000000"/>
          <w:sz w:val="24"/>
          <w:szCs w:val="24"/>
        </w:rPr>
        <w:t xml:space="preserve">of </w:t>
      </w:r>
      <w:r w:rsidRPr="008E63C6">
        <w:rPr>
          <w:rFonts w:ascii="Century Gothic" w:eastAsia="Times New Roman" w:hAnsi="Century Gothic" w:cs="Calibri"/>
          <w:color w:val="000000"/>
          <w:sz w:val="24"/>
          <w:szCs w:val="24"/>
        </w:rPr>
        <w:t>2022</w:t>
      </w:r>
      <w:r w:rsidR="008B546D">
        <w:rPr>
          <w:rFonts w:ascii="Century Gothic" w:eastAsia="Times New Roman" w:hAnsi="Century Gothic" w:cs="Calibri"/>
          <w:color w:val="000000"/>
          <w:sz w:val="24"/>
          <w:szCs w:val="24"/>
        </w:rPr>
        <w:t>.</w:t>
      </w:r>
    </w:p>
    <w:p w14:paraId="031B242B" w14:textId="1D90A691" w:rsidR="008E63C6" w:rsidRPr="008E63C6" w:rsidRDefault="008E63C6" w:rsidP="008E63C6">
      <w:pPr>
        <w:shd w:val="clear" w:color="auto" w:fill="FFFFFF"/>
        <w:spacing w:line="235" w:lineRule="atLeast"/>
        <w:jc w:val="both"/>
        <w:rPr>
          <w:rFonts w:ascii="Calibri" w:eastAsia="Times New Roman" w:hAnsi="Calibri" w:cs="Calibri"/>
          <w:color w:val="000000"/>
        </w:rPr>
      </w:pPr>
      <w:r w:rsidRPr="008E63C6">
        <w:rPr>
          <w:rFonts w:ascii="Century Gothic" w:eastAsia="Times New Roman" w:hAnsi="Century Gothic" w:cs="Calibri"/>
          <w:color w:val="000000"/>
          <w:sz w:val="24"/>
          <w:szCs w:val="24"/>
        </w:rPr>
        <w:t>1.  The Associate in Science (AS) in Health Sciences degree gives students an understanding of the career possibilities in healthcare and how their particular interests fit into the range of occupations within the healthcare industry. This degree is open to the general student body and students may self</w:t>
      </w:r>
      <w:r w:rsidR="0045426F">
        <w:rPr>
          <w:rFonts w:ascii="Century Gothic" w:eastAsia="Times New Roman" w:hAnsi="Century Gothic" w:cs="Calibri"/>
          <w:color w:val="000000"/>
          <w:sz w:val="24"/>
          <w:szCs w:val="24"/>
        </w:rPr>
        <w:t>-</w:t>
      </w:r>
      <w:r w:rsidRPr="008E63C6">
        <w:rPr>
          <w:rFonts w:ascii="Century Gothic" w:eastAsia="Times New Roman" w:hAnsi="Century Gothic" w:cs="Calibri"/>
          <w:color w:val="000000"/>
          <w:sz w:val="24"/>
          <w:szCs w:val="24"/>
        </w:rPr>
        <w:t>decla</w:t>
      </w:r>
      <w:r w:rsidR="0045426F">
        <w:rPr>
          <w:rFonts w:ascii="Century Gothic" w:eastAsia="Times New Roman" w:hAnsi="Century Gothic" w:cs="Calibri"/>
          <w:color w:val="000000"/>
          <w:sz w:val="24"/>
          <w:szCs w:val="24"/>
        </w:rPr>
        <w:t>re</w:t>
      </w:r>
      <w:r w:rsidRPr="008E63C6">
        <w:rPr>
          <w:rFonts w:ascii="Century Gothic" w:eastAsia="Times New Roman" w:hAnsi="Century Gothic" w:cs="Calibri"/>
          <w:color w:val="000000"/>
          <w:sz w:val="24"/>
          <w:szCs w:val="24"/>
        </w:rPr>
        <w:t xml:space="preserve"> this degree as their major.</w:t>
      </w:r>
    </w:p>
    <w:p w14:paraId="434736C6" w14:textId="5F0FDD00" w:rsidR="008E63C6" w:rsidRPr="008E63C6" w:rsidRDefault="008E63C6" w:rsidP="008E63C6">
      <w:pPr>
        <w:shd w:val="clear" w:color="auto" w:fill="FFFFFF"/>
        <w:spacing w:line="235" w:lineRule="atLeast"/>
        <w:jc w:val="both"/>
        <w:rPr>
          <w:rFonts w:ascii="Calibri" w:eastAsia="Times New Roman" w:hAnsi="Calibri" w:cs="Calibri"/>
          <w:color w:val="000000"/>
          <w:sz w:val="24"/>
          <w:szCs w:val="24"/>
        </w:rPr>
      </w:pPr>
      <w:r w:rsidRPr="008E63C6">
        <w:rPr>
          <w:rFonts w:ascii="Century Gothic" w:eastAsia="Times New Roman" w:hAnsi="Century Gothic" w:cs="Calibri"/>
          <w:color w:val="000000"/>
          <w:sz w:val="24"/>
          <w:szCs w:val="24"/>
        </w:rPr>
        <w:t>2. A new B</w:t>
      </w:r>
      <w:r w:rsidR="0045426F">
        <w:rPr>
          <w:rFonts w:ascii="Century Gothic" w:eastAsia="Times New Roman" w:hAnsi="Century Gothic" w:cs="Calibri"/>
          <w:color w:val="000000"/>
          <w:sz w:val="24"/>
          <w:szCs w:val="24"/>
        </w:rPr>
        <w:t xml:space="preserve">achelor of Science (BS) </w:t>
      </w:r>
      <w:r w:rsidRPr="008E63C6">
        <w:rPr>
          <w:rFonts w:ascii="Century Gothic" w:eastAsia="Times New Roman" w:hAnsi="Century Gothic" w:cs="Calibri"/>
          <w:color w:val="000000"/>
          <w:sz w:val="24"/>
          <w:szCs w:val="24"/>
        </w:rPr>
        <w:t>degree was recently approved in Healthcare Management and Policy and is anticipated to start in the </w:t>
      </w:r>
      <w:r w:rsidR="0045426F">
        <w:rPr>
          <w:rFonts w:ascii="Century Gothic" w:eastAsia="Times New Roman" w:hAnsi="Century Gothic" w:cs="Calibri"/>
          <w:color w:val="000000"/>
          <w:sz w:val="24"/>
          <w:szCs w:val="24"/>
        </w:rPr>
        <w:t>S</w:t>
      </w:r>
      <w:r w:rsidRPr="008E63C6">
        <w:rPr>
          <w:rFonts w:ascii="Century Gothic" w:eastAsia="Times New Roman" w:hAnsi="Century Gothic" w:cs="Calibri"/>
          <w:color w:val="000000"/>
          <w:sz w:val="24"/>
          <w:szCs w:val="24"/>
        </w:rPr>
        <w:t xml:space="preserve">pring </w:t>
      </w:r>
      <w:r w:rsidR="0045426F">
        <w:rPr>
          <w:rFonts w:ascii="Century Gothic" w:eastAsia="Times New Roman" w:hAnsi="Century Gothic" w:cs="Calibri"/>
          <w:color w:val="000000"/>
          <w:sz w:val="24"/>
          <w:szCs w:val="24"/>
        </w:rPr>
        <w:t xml:space="preserve">of </w:t>
      </w:r>
      <w:r w:rsidRPr="008E63C6">
        <w:rPr>
          <w:rFonts w:ascii="Century Gothic" w:eastAsia="Times New Roman" w:hAnsi="Century Gothic" w:cs="Calibri"/>
          <w:color w:val="000000"/>
          <w:sz w:val="24"/>
          <w:szCs w:val="24"/>
        </w:rPr>
        <w:t>2022. This degree is open to all students in good academic standing and allows for continuation of studies beyond the AS Health Sciences degree. This BS degree prepares students for entry level administrative careers that support the operations of healthcare facilities, government agencies</w:t>
      </w:r>
      <w:r w:rsidR="0045426F">
        <w:rPr>
          <w:rFonts w:ascii="Century Gothic" w:eastAsia="Times New Roman" w:hAnsi="Century Gothic" w:cs="Calibri"/>
          <w:color w:val="000000"/>
          <w:sz w:val="24"/>
          <w:szCs w:val="24"/>
        </w:rPr>
        <w:t>,</w:t>
      </w:r>
      <w:r w:rsidRPr="008E63C6">
        <w:rPr>
          <w:rFonts w:ascii="Century Gothic" w:eastAsia="Times New Roman" w:hAnsi="Century Gothic" w:cs="Calibri"/>
          <w:color w:val="000000"/>
          <w:sz w:val="24"/>
          <w:szCs w:val="24"/>
        </w:rPr>
        <w:t xml:space="preserve"> and related industries</w:t>
      </w:r>
      <w:r w:rsidR="0045426F">
        <w:rPr>
          <w:rFonts w:ascii="Century Gothic" w:eastAsia="Times New Roman" w:hAnsi="Century Gothic" w:cs="Calibri"/>
          <w:color w:val="000000"/>
          <w:sz w:val="24"/>
          <w:szCs w:val="24"/>
        </w:rPr>
        <w:t>.</w:t>
      </w:r>
      <w:r w:rsidRPr="008E63C6">
        <w:rPr>
          <w:rFonts w:ascii="Century Gothic" w:eastAsia="Times New Roman" w:hAnsi="Century Gothic" w:cs="Calibri"/>
          <w:color w:val="000000"/>
          <w:sz w:val="24"/>
          <w:szCs w:val="24"/>
        </w:rPr>
        <w:t> </w:t>
      </w:r>
    </w:p>
    <w:p w14:paraId="1E0D29C5" w14:textId="12EDD008" w:rsidR="008E63C6" w:rsidRPr="008E63C6" w:rsidRDefault="008E63C6" w:rsidP="008E63C6">
      <w:pPr>
        <w:shd w:val="clear" w:color="auto" w:fill="FFFFFF"/>
        <w:spacing w:after="0" w:line="240" w:lineRule="auto"/>
        <w:jc w:val="both"/>
        <w:rPr>
          <w:rFonts w:ascii="Calibri" w:eastAsia="Times New Roman" w:hAnsi="Calibri" w:cs="Calibri"/>
          <w:color w:val="000000"/>
          <w:sz w:val="24"/>
          <w:szCs w:val="24"/>
        </w:rPr>
      </w:pPr>
      <w:r w:rsidRPr="008E63C6">
        <w:rPr>
          <w:rFonts w:ascii="Century Gothic" w:eastAsia="Times New Roman" w:hAnsi="Century Gothic" w:cs="Calibri"/>
          <w:color w:val="000000"/>
          <w:sz w:val="24"/>
          <w:szCs w:val="24"/>
        </w:rPr>
        <w:t>3.  The</w:t>
      </w:r>
      <w:r w:rsidR="0045426F">
        <w:rPr>
          <w:rFonts w:ascii="Century Gothic" w:eastAsia="Times New Roman" w:hAnsi="Century Gothic" w:cs="Calibri"/>
          <w:color w:val="000000"/>
          <w:sz w:val="24"/>
          <w:szCs w:val="24"/>
        </w:rPr>
        <w:t xml:space="preserve"> </w:t>
      </w:r>
      <w:r w:rsidRPr="008E63C6">
        <w:rPr>
          <w:rFonts w:ascii="Century Gothic" w:eastAsia="Times New Roman" w:hAnsi="Century Gothic" w:cs="Calibri"/>
          <w:color w:val="000000"/>
          <w:sz w:val="24"/>
          <w:szCs w:val="24"/>
        </w:rPr>
        <w:t>BS in Health Services Administration is a career development degree for individuals with significant background experience in healthcare</w:t>
      </w:r>
      <w:r w:rsidR="0045426F">
        <w:rPr>
          <w:rFonts w:ascii="Century Gothic" w:eastAsia="Times New Roman" w:hAnsi="Century Gothic" w:cs="Calibri"/>
          <w:color w:val="000000"/>
          <w:sz w:val="24"/>
          <w:szCs w:val="24"/>
        </w:rPr>
        <w:t>.</w:t>
      </w:r>
      <w:r w:rsidRPr="008E63C6">
        <w:rPr>
          <w:rFonts w:ascii="Century Gothic" w:eastAsia="Times New Roman" w:hAnsi="Century Gothic" w:cs="Calibri"/>
          <w:color w:val="000000"/>
          <w:sz w:val="24"/>
          <w:szCs w:val="24"/>
        </w:rPr>
        <w:t> This degree is only open to senior</w:t>
      </w:r>
      <w:r w:rsidR="0045426F">
        <w:rPr>
          <w:rFonts w:ascii="Century Gothic" w:eastAsia="Times New Roman" w:hAnsi="Century Gothic" w:cs="Calibri"/>
          <w:color w:val="000000"/>
          <w:sz w:val="24"/>
          <w:szCs w:val="24"/>
        </w:rPr>
        <w:t>-</w:t>
      </w:r>
      <w:r w:rsidRPr="008E63C6">
        <w:rPr>
          <w:rFonts w:ascii="Century Gothic" w:eastAsia="Times New Roman" w:hAnsi="Century Gothic" w:cs="Calibri"/>
          <w:color w:val="000000"/>
          <w:sz w:val="24"/>
          <w:szCs w:val="24"/>
        </w:rPr>
        <w:t xml:space="preserve">level students who hold at least an Associate Degree AND who are either licensed healthcare providers </w:t>
      </w:r>
      <w:r w:rsidRPr="008E63C6">
        <w:rPr>
          <w:rFonts w:ascii="Century Gothic" w:eastAsia="Times New Roman" w:hAnsi="Century Gothic" w:cs="Calibri"/>
          <w:color w:val="000000"/>
          <w:sz w:val="24"/>
          <w:szCs w:val="24"/>
          <w:u w:val="single"/>
        </w:rPr>
        <w:t>or</w:t>
      </w:r>
      <w:r w:rsidRPr="008E63C6">
        <w:rPr>
          <w:rFonts w:ascii="Century Gothic" w:eastAsia="Times New Roman" w:hAnsi="Century Gothic" w:cs="Calibri"/>
          <w:color w:val="000000"/>
          <w:sz w:val="24"/>
          <w:szCs w:val="24"/>
        </w:rPr>
        <w:t> individuals with the equivalent of two years, full-time relevant work experience in a health care facility. This degree seeks to bu</w:t>
      </w:r>
      <w:r w:rsidR="008B546D">
        <w:rPr>
          <w:rFonts w:ascii="Century Gothic" w:eastAsia="Times New Roman" w:hAnsi="Century Gothic" w:cs="Calibri"/>
          <w:color w:val="000000"/>
          <w:sz w:val="24"/>
          <w:szCs w:val="24"/>
        </w:rPr>
        <w:t>ild</w:t>
      </w:r>
      <w:r w:rsidRPr="008E63C6">
        <w:rPr>
          <w:rFonts w:ascii="Century Gothic" w:eastAsia="Times New Roman" w:hAnsi="Century Gothic" w:cs="Calibri"/>
          <w:color w:val="000000"/>
          <w:sz w:val="24"/>
          <w:szCs w:val="24"/>
        </w:rPr>
        <w:t> upon the students</w:t>
      </w:r>
      <w:r w:rsidR="0045426F">
        <w:rPr>
          <w:rFonts w:ascii="Century Gothic" w:eastAsia="Times New Roman" w:hAnsi="Century Gothic" w:cs="Calibri"/>
          <w:color w:val="000000"/>
          <w:sz w:val="24"/>
          <w:szCs w:val="24"/>
        </w:rPr>
        <w:t>’</w:t>
      </w:r>
      <w:r w:rsidRPr="008E63C6">
        <w:rPr>
          <w:rFonts w:ascii="Century Gothic" w:eastAsia="Times New Roman" w:hAnsi="Century Gothic" w:cs="Calibri"/>
          <w:color w:val="000000"/>
          <w:sz w:val="24"/>
          <w:szCs w:val="24"/>
        </w:rPr>
        <w:t xml:space="preserve"> existing credentials and work experience so that they may apply their skills to new occupational settings. </w:t>
      </w:r>
      <w:r w:rsidR="0045426F">
        <w:rPr>
          <w:rFonts w:ascii="Century Gothic" w:eastAsia="Times New Roman" w:hAnsi="Century Gothic" w:cs="Calibri"/>
          <w:color w:val="000000"/>
          <w:sz w:val="24"/>
          <w:szCs w:val="24"/>
        </w:rPr>
        <w:t>Interested s</w:t>
      </w:r>
      <w:r w:rsidRPr="008E63C6">
        <w:rPr>
          <w:rFonts w:ascii="Century Gothic" w:eastAsia="Times New Roman" w:hAnsi="Century Gothic" w:cs="Calibri"/>
          <w:color w:val="000000"/>
          <w:sz w:val="24"/>
          <w:szCs w:val="24"/>
        </w:rPr>
        <w:t>tudents may not self</w:t>
      </w:r>
      <w:r w:rsidR="0045426F">
        <w:rPr>
          <w:rFonts w:ascii="Century Gothic" w:eastAsia="Times New Roman" w:hAnsi="Century Gothic" w:cs="Calibri"/>
          <w:color w:val="000000"/>
          <w:sz w:val="24"/>
          <w:szCs w:val="24"/>
        </w:rPr>
        <w:t>-</w:t>
      </w:r>
      <w:r w:rsidRPr="008E63C6">
        <w:rPr>
          <w:rFonts w:ascii="Century Gothic" w:eastAsia="Times New Roman" w:hAnsi="Century Gothic" w:cs="Calibri"/>
          <w:color w:val="000000"/>
          <w:sz w:val="24"/>
          <w:szCs w:val="24"/>
        </w:rPr>
        <w:t>declare this</w:t>
      </w:r>
      <w:r w:rsidR="0045426F">
        <w:rPr>
          <w:rFonts w:ascii="Century Gothic" w:eastAsia="Times New Roman" w:hAnsi="Century Gothic" w:cs="Calibri"/>
          <w:color w:val="000000"/>
          <w:sz w:val="24"/>
          <w:szCs w:val="24"/>
        </w:rPr>
        <w:t xml:space="preserve"> </w:t>
      </w:r>
      <w:r w:rsidRPr="008E63C6">
        <w:rPr>
          <w:rFonts w:ascii="Century Gothic" w:eastAsia="Times New Roman" w:hAnsi="Century Gothic" w:cs="Calibri"/>
          <w:color w:val="000000"/>
          <w:sz w:val="24"/>
          <w:szCs w:val="24"/>
        </w:rPr>
        <w:t>major</w:t>
      </w:r>
      <w:r w:rsidR="0045426F">
        <w:rPr>
          <w:rFonts w:ascii="Century Gothic" w:eastAsia="Times New Roman" w:hAnsi="Century Gothic" w:cs="Calibri"/>
          <w:color w:val="000000"/>
          <w:sz w:val="24"/>
          <w:szCs w:val="24"/>
        </w:rPr>
        <w:t xml:space="preserve">; instead, they </w:t>
      </w:r>
      <w:r w:rsidRPr="008E63C6">
        <w:rPr>
          <w:rFonts w:ascii="Century Gothic" w:eastAsia="Times New Roman" w:hAnsi="Century Gothic" w:cs="Calibri"/>
          <w:color w:val="000000"/>
          <w:sz w:val="24"/>
          <w:szCs w:val="24"/>
        </w:rPr>
        <w:t>need to apply to the department and undergo a review of their credentials</w:t>
      </w:r>
      <w:r w:rsidR="000A51CC">
        <w:rPr>
          <w:rFonts w:ascii="Century Gothic" w:eastAsia="Times New Roman" w:hAnsi="Century Gothic" w:cs="Calibri"/>
          <w:color w:val="000000"/>
          <w:sz w:val="24"/>
          <w:szCs w:val="24"/>
        </w:rPr>
        <w:t xml:space="preserve"> </w:t>
      </w:r>
      <w:r w:rsidRPr="008E63C6">
        <w:rPr>
          <w:rFonts w:ascii="Century Gothic" w:eastAsia="Times New Roman" w:hAnsi="Century Gothic" w:cs="Calibri"/>
          <w:color w:val="000000"/>
          <w:sz w:val="24"/>
          <w:szCs w:val="24"/>
        </w:rPr>
        <w:t>to determine if they meet the degree's entrance requirements.</w:t>
      </w:r>
    </w:p>
    <w:p w14:paraId="260356BE" w14:textId="6DACD2F6" w:rsidR="0087083F" w:rsidRDefault="0087083F" w:rsidP="00FE0AF7">
      <w:pPr>
        <w:pStyle w:val="BodyText"/>
        <w:kinsoku w:val="0"/>
        <w:overflowPunct w:val="0"/>
      </w:pPr>
    </w:p>
    <w:p w14:paraId="41480623" w14:textId="77777777" w:rsidR="001B3918" w:rsidRPr="00D14618" w:rsidRDefault="001B3918" w:rsidP="001B3918">
      <w:pPr>
        <w:pStyle w:val="ListParagraph"/>
        <w:ind w:left="0"/>
        <w:rPr>
          <w:rFonts w:ascii="Century Gothic" w:hAnsi="Century Gothic"/>
          <w:b/>
          <w:bCs/>
          <w:color w:val="000000" w:themeColor="text1"/>
          <w:sz w:val="24"/>
          <w:szCs w:val="24"/>
        </w:rPr>
      </w:pPr>
      <w:r w:rsidRPr="00D14618">
        <w:rPr>
          <w:rFonts w:ascii="Century Gothic" w:hAnsi="Century Gothic"/>
          <w:b/>
          <w:bCs/>
          <w:color w:val="000000" w:themeColor="text1"/>
          <w:w w:val="95"/>
          <w:sz w:val="24"/>
          <w:szCs w:val="24"/>
        </w:rPr>
        <w:t>Faculty</w:t>
      </w:r>
      <w:r w:rsidRPr="00D14618">
        <w:rPr>
          <w:rFonts w:ascii="Century Gothic" w:hAnsi="Century Gothic"/>
          <w:b/>
          <w:bCs/>
          <w:color w:val="000000" w:themeColor="text1"/>
          <w:spacing w:val="-39"/>
          <w:w w:val="95"/>
          <w:sz w:val="24"/>
          <w:szCs w:val="24"/>
        </w:rPr>
        <w:t xml:space="preserve"> </w:t>
      </w:r>
      <w:r w:rsidRPr="00D14618">
        <w:rPr>
          <w:rFonts w:ascii="Century Gothic" w:hAnsi="Century Gothic"/>
          <w:b/>
          <w:bCs/>
          <w:color w:val="000000" w:themeColor="text1"/>
          <w:w w:val="95"/>
          <w:sz w:val="24"/>
          <w:szCs w:val="24"/>
        </w:rPr>
        <w:t>in</w:t>
      </w:r>
      <w:r w:rsidRPr="00D14618">
        <w:rPr>
          <w:rFonts w:ascii="Century Gothic" w:hAnsi="Century Gothic"/>
          <w:b/>
          <w:bCs/>
          <w:color w:val="000000" w:themeColor="text1"/>
          <w:spacing w:val="-38"/>
          <w:w w:val="95"/>
          <w:sz w:val="24"/>
          <w:szCs w:val="24"/>
        </w:rPr>
        <w:t xml:space="preserve"> </w:t>
      </w:r>
      <w:r w:rsidRPr="00D14618">
        <w:rPr>
          <w:rFonts w:ascii="Century Gothic" w:hAnsi="Century Gothic"/>
          <w:b/>
          <w:bCs/>
          <w:color w:val="000000" w:themeColor="text1"/>
          <w:w w:val="95"/>
          <w:sz w:val="24"/>
          <w:szCs w:val="24"/>
        </w:rPr>
        <w:t>the</w:t>
      </w:r>
      <w:r w:rsidRPr="00D14618">
        <w:rPr>
          <w:rFonts w:ascii="Century Gothic" w:hAnsi="Century Gothic"/>
          <w:b/>
          <w:bCs/>
          <w:color w:val="000000" w:themeColor="text1"/>
          <w:spacing w:val="-39"/>
          <w:w w:val="95"/>
          <w:sz w:val="24"/>
          <w:szCs w:val="24"/>
        </w:rPr>
        <w:t xml:space="preserve"> </w:t>
      </w:r>
      <w:r w:rsidRPr="00D14618">
        <w:rPr>
          <w:rFonts w:ascii="Century Gothic" w:hAnsi="Century Gothic"/>
          <w:b/>
          <w:bCs/>
          <w:color w:val="000000" w:themeColor="text1"/>
          <w:w w:val="95"/>
          <w:sz w:val="24"/>
          <w:szCs w:val="24"/>
        </w:rPr>
        <w:t>Health Sciences Department</w:t>
      </w:r>
      <w:r>
        <w:rPr>
          <w:rFonts w:ascii="Century Gothic" w:hAnsi="Century Gothic"/>
          <w:b/>
          <w:bCs/>
          <w:color w:val="000000" w:themeColor="text1"/>
          <w:w w:val="95"/>
          <w:sz w:val="24"/>
          <w:szCs w:val="24"/>
        </w:rPr>
        <w:t>:</w:t>
      </w:r>
      <w:r w:rsidRPr="00D14618">
        <w:rPr>
          <w:rFonts w:ascii="Century Gothic" w:hAnsi="Century Gothic"/>
          <w:b/>
          <w:bCs/>
          <w:color w:val="000000" w:themeColor="text1"/>
          <w:w w:val="95"/>
          <w:sz w:val="24"/>
          <w:szCs w:val="24"/>
        </w:rPr>
        <w:t xml:space="preserve"> </w:t>
      </w:r>
    </w:p>
    <w:p w14:paraId="03203A7F" w14:textId="77777777" w:rsidR="001B3918" w:rsidRPr="00D14618" w:rsidRDefault="001B3918" w:rsidP="001B3918">
      <w:pPr>
        <w:pStyle w:val="BodyText"/>
        <w:kinsoku w:val="0"/>
        <w:overflowPunct w:val="0"/>
        <w:rPr>
          <w:color w:val="000000" w:themeColor="text1"/>
        </w:rPr>
      </w:pPr>
      <w:r w:rsidRPr="00D14618">
        <w:rPr>
          <w:color w:val="000000" w:themeColor="text1"/>
        </w:rPr>
        <w:t>Josef Bohm, Associate Professor, Chair</w:t>
      </w:r>
    </w:p>
    <w:p w14:paraId="0670BC15" w14:textId="77777777" w:rsidR="001B3918" w:rsidRPr="00D14618" w:rsidRDefault="001B3918" w:rsidP="001B3918">
      <w:pPr>
        <w:pStyle w:val="BodyText"/>
        <w:kinsoku w:val="0"/>
        <w:overflowPunct w:val="0"/>
        <w:rPr>
          <w:color w:val="000000" w:themeColor="text1"/>
        </w:rPr>
      </w:pPr>
      <w:r w:rsidRPr="00D14618">
        <w:rPr>
          <w:color w:val="000000" w:themeColor="text1"/>
        </w:rPr>
        <w:t xml:space="preserve">Karen </w:t>
      </w:r>
      <w:proofErr w:type="spellStart"/>
      <w:r w:rsidRPr="00D14618">
        <w:rPr>
          <w:color w:val="000000" w:themeColor="text1"/>
        </w:rPr>
        <w:t>Bonsignore</w:t>
      </w:r>
      <w:proofErr w:type="spellEnd"/>
      <w:r w:rsidRPr="00D14618">
        <w:rPr>
          <w:color w:val="000000" w:themeColor="text1"/>
        </w:rPr>
        <w:t>, Associate Professor</w:t>
      </w:r>
    </w:p>
    <w:p w14:paraId="2DEC2FF9" w14:textId="77777777" w:rsidR="001B3918" w:rsidRPr="00D14618" w:rsidRDefault="001B3918" w:rsidP="001B3918">
      <w:pPr>
        <w:pStyle w:val="BodyText"/>
        <w:kinsoku w:val="0"/>
        <w:overflowPunct w:val="0"/>
        <w:rPr>
          <w:color w:val="000000" w:themeColor="text1"/>
        </w:rPr>
      </w:pPr>
      <w:r w:rsidRPr="00D14618">
        <w:rPr>
          <w:color w:val="000000" w:themeColor="text1"/>
        </w:rPr>
        <w:t>Brigida Hernandez, Associate Professor</w:t>
      </w:r>
    </w:p>
    <w:p w14:paraId="58F932B8" w14:textId="77777777" w:rsidR="001B3918" w:rsidRPr="00D14618" w:rsidRDefault="001B3918" w:rsidP="001B3918">
      <w:pPr>
        <w:pStyle w:val="BodyText"/>
        <w:kinsoku w:val="0"/>
        <w:overflowPunct w:val="0"/>
        <w:rPr>
          <w:color w:val="000000" w:themeColor="text1"/>
        </w:rPr>
      </w:pPr>
      <w:r w:rsidRPr="00D14618">
        <w:rPr>
          <w:color w:val="000000" w:themeColor="text1"/>
        </w:rPr>
        <w:t>Kathrine Gregory, Assistant Professor</w:t>
      </w:r>
    </w:p>
    <w:p w14:paraId="18B735C8" w14:textId="77777777" w:rsidR="0045426F" w:rsidRDefault="001B3918" w:rsidP="0045426F">
      <w:pPr>
        <w:pStyle w:val="BodyText"/>
        <w:kinsoku w:val="0"/>
        <w:overflowPunct w:val="0"/>
        <w:rPr>
          <w:color w:val="000000" w:themeColor="text1"/>
        </w:rPr>
      </w:pPr>
      <w:r w:rsidRPr="00D14618">
        <w:rPr>
          <w:color w:val="000000" w:themeColor="text1"/>
        </w:rPr>
        <w:t xml:space="preserve">Noemi Rodriguez, </w:t>
      </w:r>
      <w:r>
        <w:rPr>
          <w:color w:val="000000" w:themeColor="text1"/>
        </w:rPr>
        <w:t>Lecturer</w:t>
      </w:r>
    </w:p>
    <w:p w14:paraId="5FA580E9" w14:textId="3F2F680B" w:rsidR="0045426F" w:rsidRPr="0045426F" w:rsidRDefault="001B3918" w:rsidP="0045426F">
      <w:pPr>
        <w:pStyle w:val="BodyText"/>
        <w:kinsoku w:val="0"/>
        <w:overflowPunct w:val="0"/>
        <w:jc w:val="both"/>
        <w:rPr>
          <w:color w:val="000000" w:themeColor="text1"/>
        </w:rPr>
      </w:pPr>
      <w:r w:rsidRPr="000D401A">
        <w:rPr>
          <w:b/>
          <w:bCs/>
          <w:color w:val="000000" w:themeColor="text1"/>
        </w:rPr>
        <w:lastRenderedPageBreak/>
        <w:t xml:space="preserve">Students in the </w:t>
      </w:r>
      <w:r w:rsidRPr="000D401A">
        <w:rPr>
          <w:b/>
          <w:bCs/>
          <w:color w:val="000000" w:themeColor="text1"/>
          <w:w w:val="95"/>
        </w:rPr>
        <w:t>Health Sciences Department</w:t>
      </w:r>
      <w:r>
        <w:rPr>
          <w:b/>
          <w:bCs/>
          <w:color w:val="000000" w:themeColor="text1"/>
          <w:w w:val="95"/>
        </w:rPr>
        <w:t xml:space="preserve"> will be</w:t>
      </w:r>
      <w:r w:rsidRPr="000D401A">
        <w:rPr>
          <w:b/>
          <w:bCs/>
          <w:color w:val="000000" w:themeColor="text1"/>
        </w:rPr>
        <w:t xml:space="preserve"> provided with important resources</w:t>
      </w:r>
      <w:r>
        <w:rPr>
          <w:b/>
          <w:bCs/>
          <w:color w:val="000000" w:themeColor="text1"/>
        </w:rPr>
        <w:t>:</w:t>
      </w:r>
      <w:r w:rsidRPr="000D401A">
        <w:rPr>
          <w:b/>
          <w:bCs/>
          <w:color w:val="000000" w:themeColor="text1"/>
        </w:rPr>
        <w:t xml:space="preserve"> </w:t>
      </w:r>
    </w:p>
    <w:p w14:paraId="5FFF614C" w14:textId="77777777" w:rsidR="0045426F" w:rsidRDefault="0045426F" w:rsidP="0045426F">
      <w:pPr>
        <w:pStyle w:val="ListParagraph"/>
        <w:ind w:left="0"/>
        <w:jc w:val="both"/>
        <w:rPr>
          <w:rFonts w:ascii="Century Gothic" w:hAnsi="Century Gothic"/>
          <w:b/>
          <w:bCs/>
          <w:color w:val="000000" w:themeColor="text1"/>
          <w:sz w:val="24"/>
          <w:szCs w:val="24"/>
        </w:rPr>
      </w:pPr>
    </w:p>
    <w:p w14:paraId="577E6AC8" w14:textId="6B4F65C0" w:rsidR="001B3918" w:rsidRPr="0045426F" w:rsidRDefault="001B3918" w:rsidP="0045426F">
      <w:pPr>
        <w:pStyle w:val="ListParagraph"/>
        <w:ind w:left="0"/>
        <w:jc w:val="both"/>
        <w:rPr>
          <w:rFonts w:ascii="Century Gothic" w:hAnsi="Century Gothic"/>
          <w:b/>
          <w:bCs/>
          <w:color w:val="000000" w:themeColor="text1"/>
          <w:sz w:val="24"/>
          <w:szCs w:val="24"/>
        </w:rPr>
      </w:pPr>
      <w:r w:rsidRPr="000D401A">
        <w:rPr>
          <w:rFonts w:ascii="Century Gothic" w:eastAsia="Times New Roman" w:hAnsi="Century Gothic" w:cs="Arial"/>
          <w:color w:val="000000" w:themeColor="text1"/>
          <w:sz w:val="24"/>
          <w:szCs w:val="24"/>
          <w:shd w:val="clear" w:color="auto" w:fill="FFFFFF"/>
        </w:rPr>
        <w:t xml:space="preserve">Students </w:t>
      </w:r>
      <w:r>
        <w:rPr>
          <w:rFonts w:ascii="Century Gothic" w:eastAsia="Times New Roman" w:hAnsi="Century Gothic" w:cs="Arial"/>
          <w:color w:val="000000" w:themeColor="text1"/>
          <w:sz w:val="24"/>
          <w:szCs w:val="24"/>
          <w:shd w:val="clear" w:color="auto" w:fill="FFFFFF"/>
        </w:rPr>
        <w:t>have access to</w:t>
      </w:r>
      <w:r w:rsidRPr="000D401A">
        <w:rPr>
          <w:rFonts w:ascii="Century Gothic" w:eastAsia="Times New Roman" w:hAnsi="Century Gothic" w:cs="Arial"/>
          <w:color w:val="000000" w:themeColor="text1"/>
          <w:sz w:val="24"/>
          <w:szCs w:val="24"/>
          <w:shd w:val="clear" w:color="auto" w:fill="FFFFFF"/>
        </w:rPr>
        <w:t xml:space="preserve"> the College’s</w:t>
      </w:r>
      <w:r>
        <w:rPr>
          <w:rFonts w:ascii="Century Gothic" w:eastAsia="Times New Roman" w:hAnsi="Century Gothic" w:cs="Arial"/>
          <w:color w:val="000000" w:themeColor="text1"/>
          <w:sz w:val="24"/>
          <w:szCs w:val="24"/>
          <w:shd w:val="clear" w:color="auto" w:fill="FFFFFF"/>
        </w:rPr>
        <w:t xml:space="preserve"> </w:t>
      </w:r>
      <w:r w:rsidRPr="000D401A">
        <w:rPr>
          <w:rFonts w:ascii="Century Gothic" w:eastAsia="Times New Roman" w:hAnsi="Century Gothic" w:cs="Arial"/>
          <w:color w:val="000000" w:themeColor="text1"/>
          <w:sz w:val="24"/>
          <w:szCs w:val="24"/>
          <w:shd w:val="clear" w:color="auto" w:fill="FFFFFF"/>
        </w:rPr>
        <w:t>technological and information resources including</w:t>
      </w:r>
      <w:r>
        <w:rPr>
          <w:rFonts w:ascii="Century Gothic" w:eastAsia="Times New Roman" w:hAnsi="Century Gothic" w:cs="Arial"/>
          <w:color w:val="000000" w:themeColor="text1"/>
          <w:sz w:val="24"/>
          <w:szCs w:val="24"/>
          <w:shd w:val="clear" w:color="auto" w:fill="FFFFFF"/>
        </w:rPr>
        <w:t xml:space="preserve"> l</w:t>
      </w:r>
      <w:r w:rsidRPr="000D401A">
        <w:rPr>
          <w:rFonts w:ascii="Century Gothic" w:eastAsia="Times New Roman" w:hAnsi="Century Gothic" w:cs="Arial"/>
          <w:color w:val="000000" w:themeColor="text1"/>
          <w:sz w:val="24"/>
          <w:szCs w:val="24"/>
        </w:rPr>
        <w:t>earning management system</w:t>
      </w:r>
      <w:r>
        <w:rPr>
          <w:rFonts w:ascii="Century Gothic" w:eastAsia="Times New Roman" w:hAnsi="Century Gothic" w:cs="Arial"/>
          <w:color w:val="000000" w:themeColor="text1"/>
          <w:sz w:val="24"/>
          <w:szCs w:val="24"/>
        </w:rPr>
        <w:t>s (</w:t>
      </w:r>
      <w:r w:rsidRPr="000D401A">
        <w:rPr>
          <w:rFonts w:ascii="Century Gothic" w:eastAsia="Times New Roman" w:hAnsi="Century Gothic" w:cs="Arial"/>
          <w:color w:val="000000" w:themeColor="text1"/>
          <w:sz w:val="24"/>
          <w:szCs w:val="24"/>
        </w:rPr>
        <w:t>Black</w:t>
      </w:r>
      <w:r>
        <w:rPr>
          <w:rFonts w:ascii="Century Gothic" w:eastAsia="Times New Roman" w:hAnsi="Century Gothic" w:cs="Arial"/>
          <w:color w:val="000000" w:themeColor="text1"/>
          <w:sz w:val="24"/>
          <w:szCs w:val="24"/>
        </w:rPr>
        <w:t>b</w:t>
      </w:r>
      <w:r w:rsidRPr="000D401A">
        <w:rPr>
          <w:rFonts w:ascii="Century Gothic" w:eastAsia="Times New Roman" w:hAnsi="Century Gothic" w:cs="Arial"/>
          <w:color w:val="000000" w:themeColor="text1"/>
          <w:sz w:val="24"/>
          <w:szCs w:val="24"/>
        </w:rPr>
        <w:t>oard</w:t>
      </w:r>
      <w:r>
        <w:rPr>
          <w:rFonts w:ascii="Century Gothic" w:eastAsia="Times New Roman" w:hAnsi="Century Gothic" w:cs="Arial"/>
          <w:color w:val="000000" w:themeColor="text1"/>
          <w:sz w:val="24"/>
          <w:szCs w:val="24"/>
        </w:rPr>
        <w:t xml:space="preserve"> and Open Lab), computer labs, tutoring, and a writing center.</w:t>
      </w:r>
    </w:p>
    <w:p w14:paraId="6BDE5C29" w14:textId="5152C2BF" w:rsidR="001B3918" w:rsidRDefault="001B3918" w:rsidP="0045426F">
      <w:pPr>
        <w:shd w:val="clear" w:color="auto" w:fill="FFFFFF"/>
        <w:spacing w:before="100" w:beforeAutospacing="1" w:after="100" w:afterAutospacing="1" w:line="240" w:lineRule="auto"/>
        <w:jc w:val="both"/>
        <w:rPr>
          <w:rFonts w:ascii="Century Gothic" w:eastAsia="Times New Roman" w:hAnsi="Century Gothic" w:cs="Arial"/>
          <w:color w:val="000000" w:themeColor="text1"/>
          <w:sz w:val="24"/>
          <w:szCs w:val="24"/>
        </w:rPr>
      </w:pPr>
      <w:r>
        <w:rPr>
          <w:rFonts w:ascii="Century Gothic" w:eastAsia="Times New Roman" w:hAnsi="Century Gothic" w:cs="Arial"/>
          <w:color w:val="000000" w:themeColor="text1"/>
          <w:sz w:val="24"/>
          <w:szCs w:val="24"/>
        </w:rPr>
        <w:t>Students benefit from a</w:t>
      </w:r>
      <w:r w:rsidRPr="000D401A">
        <w:rPr>
          <w:rFonts w:ascii="Century Gothic" w:eastAsia="Times New Roman" w:hAnsi="Century Gothic" w:cs="Arial"/>
          <w:color w:val="000000" w:themeColor="text1"/>
          <w:sz w:val="24"/>
          <w:szCs w:val="24"/>
        </w:rPr>
        <w:t xml:space="preserve"> program that emphasizes “process education” where students are encouraged to master self-directed learning</w:t>
      </w:r>
      <w:r>
        <w:rPr>
          <w:rFonts w:ascii="Century Gothic" w:eastAsia="Times New Roman" w:hAnsi="Century Gothic" w:cs="Arial"/>
          <w:color w:val="000000" w:themeColor="text1"/>
          <w:sz w:val="24"/>
          <w:szCs w:val="24"/>
        </w:rPr>
        <w:t xml:space="preserve"> through courses that are offered during weekdays, nights, and weekends.</w:t>
      </w:r>
    </w:p>
    <w:p w14:paraId="74CA165C" w14:textId="48529088" w:rsidR="001B3918" w:rsidRPr="000D401A" w:rsidRDefault="001B3918" w:rsidP="001B3918">
      <w:pPr>
        <w:shd w:val="clear" w:color="auto" w:fill="FFFFFF"/>
        <w:spacing w:after="150" w:line="240" w:lineRule="auto"/>
        <w:jc w:val="both"/>
        <w:rPr>
          <w:rFonts w:ascii="Century Gothic" w:eastAsia="Times New Roman" w:hAnsi="Century Gothic" w:cs="Arial"/>
          <w:color w:val="000000" w:themeColor="text1"/>
          <w:sz w:val="24"/>
          <w:szCs w:val="24"/>
        </w:rPr>
      </w:pPr>
      <w:r>
        <w:rPr>
          <w:rFonts w:ascii="Century Gothic" w:eastAsia="Times New Roman" w:hAnsi="Century Gothic" w:cs="Arial"/>
          <w:color w:val="000000" w:themeColor="text1"/>
          <w:sz w:val="24"/>
          <w:szCs w:val="24"/>
        </w:rPr>
        <w:t>Students learn from f</w:t>
      </w:r>
      <w:r w:rsidRPr="000D401A">
        <w:rPr>
          <w:rFonts w:ascii="Century Gothic" w:eastAsia="Times New Roman" w:hAnsi="Century Gothic" w:cs="Arial"/>
          <w:color w:val="000000" w:themeColor="text1"/>
          <w:sz w:val="24"/>
          <w:szCs w:val="24"/>
        </w:rPr>
        <w:t>aculty members</w:t>
      </w:r>
      <w:r>
        <w:rPr>
          <w:rFonts w:ascii="Century Gothic" w:eastAsia="Times New Roman" w:hAnsi="Century Gothic" w:cs="Arial"/>
          <w:color w:val="000000" w:themeColor="text1"/>
          <w:sz w:val="24"/>
          <w:szCs w:val="24"/>
        </w:rPr>
        <w:t xml:space="preserve"> who </w:t>
      </w:r>
      <w:r w:rsidRPr="000D401A">
        <w:rPr>
          <w:rFonts w:ascii="Century Gothic" w:eastAsia="Times New Roman" w:hAnsi="Century Gothic" w:cs="Arial"/>
          <w:color w:val="000000" w:themeColor="text1"/>
          <w:sz w:val="24"/>
          <w:szCs w:val="24"/>
        </w:rPr>
        <w:t xml:space="preserve">have </w:t>
      </w:r>
      <w:r>
        <w:rPr>
          <w:rFonts w:ascii="Century Gothic" w:eastAsia="Times New Roman" w:hAnsi="Century Gothic" w:cs="Arial"/>
          <w:color w:val="000000" w:themeColor="text1"/>
          <w:sz w:val="24"/>
          <w:szCs w:val="24"/>
        </w:rPr>
        <w:t>diverse</w:t>
      </w:r>
      <w:r w:rsidRPr="000D401A">
        <w:rPr>
          <w:rFonts w:ascii="Century Gothic" w:eastAsia="Times New Roman" w:hAnsi="Century Gothic" w:cs="Arial"/>
          <w:color w:val="000000" w:themeColor="text1"/>
          <w:sz w:val="24"/>
          <w:szCs w:val="24"/>
        </w:rPr>
        <w:t xml:space="preserve"> backgrounds in administration, public health</w:t>
      </w:r>
      <w:r w:rsidR="000A51CC">
        <w:rPr>
          <w:rFonts w:ascii="Century Gothic" w:eastAsia="Times New Roman" w:hAnsi="Century Gothic" w:cs="Arial"/>
          <w:color w:val="000000" w:themeColor="text1"/>
          <w:sz w:val="24"/>
          <w:szCs w:val="24"/>
        </w:rPr>
        <w:t>,</w:t>
      </w:r>
      <w:r w:rsidRPr="000D401A">
        <w:rPr>
          <w:rFonts w:ascii="Century Gothic" w:eastAsia="Times New Roman" w:hAnsi="Century Gothic" w:cs="Arial"/>
          <w:color w:val="000000" w:themeColor="text1"/>
          <w:sz w:val="24"/>
          <w:szCs w:val="24"/>
        </w:rPr>
        <w:t xml:space="preserve"> and professional disciplines. They are dedicated to helping students</w:t>
      </w:r>
      <w:r>
        <w:rPr>
          <w:rFonts w:ascii="Century Gothic" w:eastAsia="Times New Roman" w:hAnsi="Century Gothic" w:cs="Arial"/>
          <w:color w:val="000000" w:themeColor="text1"/>
          <w:sz w:val="24"/>
          <w:szCs w:val="24"/>
        </w:rPr>
        <w:t xml:space="preserve"> </w:t>
      </w:r>
      <w:r w:rsidRPr="000D401A">
        <w:rPr>
          <w:rFonts w:ascii="Century Gothic" w:eastAsia="Times New Roman" w:hAnsi="Century Gothic" w:cs="Arial"/>
          <w:color w:val="000000" w:themeColor="text1"/>
          <w:sz w:val="24"/>
          <w:szCs w:val="24"/>
        </w:rPr>
        <w:t>from admission to graduation.</w:t>
      </w:r>
    </w:p>
    <w:p w14:paraId="0412A450" w14:textId="0316592F" w:rsidR="00E61470" w:rsidRPr="00B678BA" w:rsidRDefault="00E61470" w:rsidP="00192B28">
      <w:pPr>
        <w:pStyle w:val="ListParagraph"/>
        <w:widowControl w:val="0"/>
        <w:tabs>
          <w:tab w:val="left" w:pos="1982"/>
        </w:tabs>
        <w:kinsoku w:val="0"/>
        <w:overflowPunct w:val="0"/>
        <w:autoSpaceDE w:val="0"/>
        <w:autoSpaceDN w:val="0"/>
        <w:adjustRightInd w:val="0"/>
        <w:spacing w:after="0" w:line="240" w:lineRule="auto"/>
        <w:ind w:left="1261"/>
        <w:contextualSpacing w:val="0"/>
        <w:rPr>
          <w:b/>
          <w:bCs/>
          <w:color w:val="2F5496" w:themeColor="accent5" w:themeShade="BF"/>
          <w:w w:val="95"/>
        </w:rPr>
      </w:pPr>
    </w:p>
    <w:p w14:paraId="041032C6" w14:textId="77777777" w:rsidR="0045426F" w:rsidRDefault="0045426F" w:rsidP="00FE0AF7">
      <w:pPr>
        <w:pStyle w:val="BodyText"/>
        <w:kinsoku w:val="0"/>
        <w:overflowPunct w:val="0"/>
        <w:rPr>
          <w:b/>
          <w:bCs/>
          <w:w w:val="95"/>
        </w:rPr>
      </w:pPr>
    </w:p>
    <w:p w14:paraId="2CB84225" w14:textId="77777777" w:rsidR="0045426F" w:rsidRDefault="0087083F" w:rsidP="0045426F">
      <w:pPr>
        <w:pStyle w:val="BodyText"/>
        <w:kinsoku w:val="0"/>
        <w:overflowPunct w:val="0"/>
        <w:rPr>
          <w:b/>
          <w:bCs/>
          <w:w w:val="95"/>
        </w:rPr>
      </w:pPr>
      <w:r w:rsidRPr="00B678BA">
        <w:rPr>
          <w:b/>
          <w:bCs/>
          <w:w w:val="95"/>
        </w:rPr>
        <w:t>Options for employment and further stud</w:t>
      </w:r>
      <w:r w:rsidR="00B678BA" w:rsidRPr="00B678BA">
        <w:rPr>
          <w:b/>
          <w:bCs/>
          <w:w w:val="95"/>
        </w:rPr>
        <w:t>y:</w:t>
      </w:r>
    </w:p>
    <w:p w14:paraId="0B502B31" w14:textId="77777777" w:rsidR="0045426F" w:rsidRDefault="0045426F" w:rsidP="0045426F">
      <w:pPr>
        <w:pStyle w:val="BodyText"/>
        <w:kinsoku w:val="0"/>
        <w:overflowPunct w:val="0"/>
        <w:rPr>
          <w:b/>
          <w:bCs/>
          <w:w w:val="95"/>
        </w:rPr>
      </w:pPr>
    </w:p>
    <w:p w14:paraId="3757F17F" w14:textId="131635AA" w:rsidR="00B678BA" w:rsidRDefault="00B678BA" w:rsidP="0045426F">
      <w:pPr>
        <w:pStyle w:val="BodyText"/>
        <w:kinsoku w:val="0"/>
        <w:overflowPunct w:val="0"/>
        <w:jc w:val="both"/>
        <w:rPr>
          <w:rFonts w:eastAsia="Times New Roman" w:cs="Arial"/>
          <w:color w:val="000000" w:themeColor="text1"/>
          <w:shd w:val="clear" w:color="auto" w:fill="FFFFFF"/>
        </w:rPr>
      </w:pPr>
      <w:r w:rsidRPr="0002547C">
        <w:rPr>
          <w:rFonts w:eastAsia="Times New Roman" w:cs="Arial"/>
          <w:color w:val="000000" w:themeColor="text1"/>
          <w:shd w:val="clear" w:color="auto" w:fill="FFFFFF"/>
        </w:rPr>
        <w:t xml:space="preserve">Graduates will be prepared to enter the challenging and fast-growing world of healthcare in a variety of settings. Significant employment opportunities exist in hospitals, healthcare agencies, nursing homes, insurance companies, medical/dental clinics, and managed care organizations. Alternatively, the program provides students with an excellent foundation should they wish to continue their graduate education in health-related fields. </w:t>
      </w:r>
    </w:p>
    <w:p w14:paraId="56CF4BCA" w14:textId="77777777" w:rsidR="0045426F" w:rsidRPr="0045426F" w:rsidRDefault="0045426F" w:rsidP="0045426F">
      <w:pPr>
        <w:pStyle w:val="BodyText"/>
        <w:kinsoku w:val="0"/>
        <w:overflowPunct w:val="0"/>
        <w:jc w:val="both"/>
        <w:rPr>
          <w:b/>
          <w:bCs/>
          <w:w w:val="95"/>
        </w:rPr>
      </w:pPr>
    </w:p>
    <w:p w14:paraId="5B947123" w14:textId="5EEDB461" w:rsidR="00B678BA" w:rsidRDefault="00B678BA" w:rsidP="0045426F">
      <w:pPr>
        <w:jc w:val="both"/>
        <w:rPr>
          <w:rFonts w:ascii="Century Gothic" w:eastAsia="Times New Roman" w:hAnsi="Century Gothic" w:cs="Arial"/>
          <w:color w:val="000000" w:themeColor="text1"/>
          <w:sz w:val="24"/>
          <w:szCs w:val="24"/>
          <w:shd w:val="clear" w:color="auto" w:fill="FFFFFF"/>
        </w:rPr>
      </w:pPr>
      <w:r>
        <w:rPr>
          <w:rFonts w:ascii="Century Gothic" w:eastAsia="Times New Roman" w:hAnsi="Century Gothic" w:cs="Arial"/>
          <w:color w:val="000000" w:themeColor="text1"/>
          <w:sz w:val="24"/>
          <w:szCs w:val="24"/>
          <w:shd w:val="clear" w:color="auto" w:fill="FFFFFF"/>
        </w:rPr>
        <w:t>I</w:t>
      </w:r>
      <w:r w:rsidRPr="0002547C">
        <w:rPr>
          <w:rFonts w:ascii="Century Gothic" w:eastAsia="Times New Roman" w:hAnsi="Century Gothic" w:cs="Arial"/>
          <w:color w:val="000000" w:themeColor="text1"/>
          <w:sz w:val="24"/>
          <w:szCs w:val="24"/>
          <w:shd w:val="clear" w:color="auto" w:fill="FFFFFF"/>
        </w:rPr>
        <w:t xml:space="preserve">n 2020, the Health Services Administration program was recognized by </w:t>
      </w:r>
      <w:proofErr w:type="spellStart"/>
      <w:r w:rsidRPr="0002547C">
        <w:rPr>
          <w:rFonts w:ascii="Century Gothic" w:eastAsia="Times New Roman" w:hAnsi="Century Gothic" w:cs="Arial"/>
          <w:color w:val="000000" w:themeColor="text1"/>
          <w:sz w:val="24"/>
          <w:szCs w:val="24"/>
          <w:shd w:val="clear" w:color="auto" w:fill="FFFFFF"/>
        </w:rPr>
        <w:t>GradReports</w:t>
      </w:r>
      <w:proofErr w:type="spellEnd"/>
      <w:r w:rsidRPr="0002547C">
        <w:rPr>
          <w:rFonts w:ascii="Century Gothic" w:eastAsia="Times New Roman" w:hAnsi="Century Gothic" w:cs="Arial"/>
          <w:color w:val="000000" w:themeColor="text1"/>
          <w:sz w:val="24"/>
          <w:szCs w:val="24"/>
          <w:shd w:val="clear" w:color="auto" w:fill="FFFFFF"/>
        </w:rPr>
        <w:t xml:space="preserve"> as one of the best bachelor programs in healthcare administration: </w:t>
      </w:r>
    </w:p>
    <w:p w14:paraId="4DDB6F6F" w14:textId="4C6696D5" w:rsidR="00B678BA" w:rsidRPr="0002547C" w:rsidRDefault="00993A86" w:rsidP="0045426F">
      <w:pPr>
        <w:jc w:val="both"/>
        <w:rPr>
          <w:rFonts w:ascii="Century Gothic" w:hAnsi="Century Gothic"/>
          <w:sz w:val="24"/>
          <w:szCs w:val="24"/>
        </w:rPr>
      </w:pPr>
      <w:hyperlink r:id="rId7" w:history="1">
        <w:r w:rsidR="00B678BA" w:rsidRPr="00E66240">
          <w:rPr>
            <w:rStyle w:val="Hyperlink"/>
            <w:rFonts w:ascii="Century Gothic" w:hAnsi="Century Gothic"/>
            <w:sz w:val="24"/>
            <w:szCs w:val="24"/>
          </w:rPr>
          <w:t>https://www.gradreports.com/best-colleges/healthcare-administration?atid=G2bG1SpRELNVTPCoxmoPwXqMyToM5MC3&amp;utm_action=click</w:t>
        </w:r>
      </w:hyperlink>
    </w:p>
    <w:p w14:paraId="764ED9E0" w14:textId="77777777" w:rsidR="00B678BA" w:rsidRPr="000D401A" w:rsidRDefault="00B678BA" w:rsidP="00B678BA">
      <w:pPr>
        <w:spacing w:after="0" w:line="240" w:lineRule="auto"/>
        <w:rPr>
          <w:rFonts w:ascii="Century Gothic" w:eastAsia="Times New Roman" w:hAnsi="Century Gothic" w:cs="Arial"/>
          <w:color w:val="000000" w:themeColor="text1"/>
          <w:sz w:val="24"/>
          <w:szCs w:val="24"/>
          <w:shd w:val="clear" w:color="auto" w:fill="FFFFFF"/>
        </w:rPr>
      </w:pPr>
    </w:p>
    <w:p w14:paraId="0E72FDDB" w14:textId="56BA8DB6" w:rsidR="0087083F" w:rsidRPr="00FE0AF7" w:rsidRDefault="0087083F" w:rsidP="00B678BA">
      <w:pPr>
        <w:pStyle w:val="BodyText"/>
        <w:tabs>
          <w:tab w:val="left" w:pos="5542"/>
        </w:tabs>
        <w:kinsoku w:val="0"/>
        <w:overflowPunct w:val="0"/>
        <w:ind w:left="-720"/>
        <w:rPr>
          <w:color w:val="2F5496" w:themeColor="accent5" w:themeShade="BF"/>
          <w:w w:val="95"/>
        </w:rPr>
      </w:pPr>
    </w:p>
    <w:sectPr w:rsidR="0087083F" w:rsidRPr="00FE0AF7" w:rsidSect="004332E9">
      <w:headerReference w:type="default" r:id="rId8"/>
      <w:footerReference w:type="default" r:id="rId9"/>
      <w:pgSz w:w="12240" w:h="15840"/>
      <w:pgMar w:top="1440" w:right="1440" w:bottom="1350"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06AD4" w14:textId="77777777" w:rsidR="00993A86" w:rsidRDefault="00993A86" w:rsidP="00212765">
      <w:pPr>
        <w:spacing w:after="0" w:line="240" w:lineRule="auto"/>
      </w:pPr>
      <w:r>
        <w:separator/>
      </w:r>
    </w:p>
  </w:endnote>
  <w:endnote w:type="continuationSeparator" w:id="0">
    <w:p w14:paraId="1775A170" w14:textId="77777777" w:rsidR="00993A86" w:rsidRDefault="00993A86" w:rsidP="0021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FA1AF" w14:textId="1AC41626" w:rsidR="004332E9" w:rsidRDefault="004332E9">
    <w:pPr>
      <w:pStyle w:val="Footer"/>
    </w:pPr>
  </w:p>
  <w:p w14:paraId="0D282683" w14:textId="6F9262C1" w:rsidR="004332E9" w:rsidRDefault="004332E9">
    <w:pPr>
      <w:pStyle w:val="Footer"/>
    </w:pPr>
    <w:r>
      <w:rPr>
        <w:noProof/>
      </w:rPr>
      <w:drawing>
        <wp:anchor distT="0" distB="0" distL="114300" distR="114300" simplePos="0" relativeHeight="251658240" behindDoc="1" locked="0" layoutInCell="1" allowOverlap="1" wp14:anchorId="3640D014" wp14:editId="0532BC53">
          <wp:simplePos x="0" y="0"/>
          <wp:positionH relativeFrom="column">
            <wp:posOffset>0</wp:posOffset>
          </wp:positionH>
          <wp:positionV relativeFrom="paragraph">
            <wp:posOffset>201019</wp:posOffset>
          </wp:positionV>
          <wp:extent cx="5943600" cy="459105"/>
          <wp:effectExtent l="0" t="0" r="0" b="0"/>
          <wp:wrapTight wrapText="bothSides">
            <wp:wrapPolygon edited="0">
              <wp:start x="0" y="0"/>
              <wp:lineTo x="0" y="20614"/>
              <wp:lineTo x="21531" y="20614"/>
              <wp:lineTo x="2153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14:sizeRelH relativeFrom="page">
            <wp14:pctWidth>0</wp14:pctWidth>
          </wp14:sizeRelH>
          <wp14:sizeRelV relativeFrom="page">
            <wp14:pctHeight>0</wp14:pctHeight>
          </wp14:sizeRelV>
        </wp:anchor>
      </w:drawing>
    </w:r>
  </w:p>
  <w:p w14:paraId="3DFFB2FE" w14:textId="7B4B10A2" w:rsidR="004332E9" w:rsidRDefault="004332E9" w:rsidP="004332E9">
    <w:pPr>
      <w:pStyle w:val="Footer"/>
      <w:jc w:val="center"/>
    </w:pPr>
    <w:r>
      <w:t>STUDENT READY COLLEGE DEPARTMENTS, WHO WE ARE, 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4E860" w14:textId="77777777" w:rsidR="00993A86" w:rsidRDefault="00993A86" w:rsidP="00212765">
      <w:pPr>
        <w:spacing w:after="0" w:line="240" w:lineRule="auto"/>
      </w:pPr>
      <w:r>
        <w:separator/>
      </w:r>
    </w:p>
  </w:footnote>
  <w:footnote w:type="continuationSeparator" w:id="0">
    <w:p w14:paraId="4ACAB3C3" w14:textId="77777777" w:rsidR="00993A86" w:rsidRDefault="00993A86" w:rsidP="00212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3DD9" w14:textId="61499602" w:rsidR="004332E9" w:rsidRPr="00192B28" w:rsidRDefault="004332E9" w:rsidP="0081409D">
    <w:pPr>
      <w:pStyle w:val="BodyText"/>
      <w:kinsoku w:val="0"/>
      <w:overflowPunct w:val="0"/>
      <w:ind w:right="-450"/>
      <w:rPr>
        <w:rFonts w:asciiTheme="minorHAnsi" w:hAnsiTheme="minorHAnsi"/>
        <w:b/>
        <w:iCs/>
        <w:w w:val="9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110A1DDE"/>
    <w:lvl w:ilvl="0">
      <w:start w:val="1"/>
      <w:numFmt w:val="lowerLetter"/>
      <w:lvlText w:val="%1."/>
      <w:lvlJc w:val="left"/>
      <w:pPr>
        <w:ind w:left="1968" w:hanging="340"/>
      </w:pPr>
      <w:rPr>
        <w:rFonts w:ascii="Century Gothic" w:hAnsi="Century Gothic" w:cs="Century Gothic"/>
        <w:b w:val="0"/>
        <w:bCs w:val="0"/>
        <w:color w:val="2F5496" w:themeColor="accent5" w:themeShade="BF"/>
        <w:w w:val="83"/>
        <w:sz w:val="24"/>
        <w:szCs w:val="24"/>
      </w:rPr>
    </w:lvl>
    <w:lvl w:ilvl="1">
      <w:numFmt w:val="bullet"/>
      <w:lvlText w:val="•"/>
      <w:lvlJc w:val="left"/>
      <w:pPr>
        <w:ind w:left="2988" w:hanging="340"/>
      </w:pPr>
    </w:lvl>
    <w:lvl w:ilvl="2">
      <w:numFmt w:val="bullet"/>
      <w:lvlText w:val="•"/>
      <w:lvlJc w:val="left"/>
      <w:pPr>
        <w:ind w:left="4016" w:hanging="340"/>
      </w:pPr>
    </w:lvl>
    <w:lvl w:ilvl="3">
      <w:numFmt w:val="bullet"/>
      <w:lvlText w:val="•"/>
      <w:lvlJc w:val="left"/>
      <w:pPr>
        <w:ind w:left="5044" w:hanging="340"/>
      </w:pPr>
    </w:lvl>
    <w:lvl w:ilvl="4">
      <w:numFmt w:val="bullet"/>
      <w:lvlText w:val="•"/>
      <w:lvlJc w:val="left"/>
      <w:pPr>
        <w:ind w:left="6072" w:hanging="340"/>
      </w:pPr>
    </w:lvl>
    <w:lvl w:ilvl="5">
      <w:numFmt w:val="bullet"/>
      <w:lvlText w:val="•"/>
      <w:lvlJc w:val="left"/>
      <w:pPr>
        <w:ind w:left="7100" w:hanging="340"/>
      </w:pPr>
    </w:lvl>
    <w:lvl w:ilvl="6">
      <w:numFmt w:val="bullet"/>
      <w:lvlText w:val="•"/>
      <w:lvlJc w:val="left"/>
      <w:pPr>
        <w:ind w:left="8128" w:hanging="340"/>
      </w:pPr>
    </w:lvl>
    <w:lvl w:ilvl="7">
      <w:numFmt w:val="bullet"/>
      <w:lvlText w:val="•"/>
      <w:lvlJc w:val="left"/>
      <w:pPr>
        <w:ind w:left="9156" w:hanging="340"/>
      </w:pPr>
    </w:lvl>
    <w:lvl w:ilvl="8">
      <w:numFmt w:val="bullet"/>
      <w:lvlText w:val="•"/>
      <w:lvlJc w:val="left"/>
      <w:pPr>
        <w:ind w:left="10184" w:hanging="340"/>
      </w:pPr>
    </w:lvl>
  </w:abstractNum>
  <w:abstractNum w:abstractNumId="1" w15:restartNumberingAfterBreak="0">
    <w:nsid w:val="4BA53A5D"/>
    <w:multiLevelType w:val="multilevel"/>
    <w:tmpl w:val="63A0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70FBD"/>
    <w:multiLevelType w:val="hybridMultilevel"/>
    <w:tmpl w:val="A22AB462"/>
    <w:lvl w:ilvl="0" w:tplc="FFFFFFF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92"/>
    <w:rsid w:val="000078D0"/>
    <w:rsid w:val="00024492"/>
    <w:rsid w:val="00030EF8"/>
    <w:rsid w:val="00090D1C"/>
    <w:rsid w:val="000A51CC"/>
    <w:rsid w:val="000A7B06"/>
    <w:rsid w:val="001600DF"/>
    <w:rsid w:val="00192B28"/>
    <w:rsid w:val="001B3918"/>
    <w:rsid w:val="001C75BD"/>
    <w:rsid w:val="001F0E99"/>
    <w:rsid w:val="00212765"/>
    <w:rsid w:val="00264AA8"/>
    <w:rsid w:val="002746A5"/>
    <w:rsid w:val="0030281B"/>
    <w:rsid w:val="00303D25"/>
    <w:rsid w:val="003114E2"/>
    <w:rsid w:val="00330928"/>
    <w:rsid w:val="003467D2"/>
    <w:rsid w:val="003D5322"/>
    <w:rsid w:val="00416BF8"/>
    <w:rsid w:val="004332E9"/>
    <w:rsid w:val="0045426F"/>
    <w:rsid w:val="004D3F2C"/>
    <w:rsid w:val="00546F9E"/>
    <w:rsid w:val="00584F14"/>
    <w:rsid w:val="00652857"/>
    <w:rsid w:val="0081409D"/>
    <w:rsid w:val="00821884"/>
    <w:rsid w:val="0086370C"/>
    <w:rsid w:val="0087083F"/>
    <w:rsid w:val="00875279"/>
    <w:rsid w:val="008B546D"/>
    <w:rsid w:val="008E63C6"/>
    <w:rsid w:val="00932ABE"/>
    <w:rsid w:val="00976263"/>
    <w:rsid w:val="00993A86"/>
    <w:rsid w:val="009D4546"/>
    <w:rsid w:val="00A07F14"/>
    <w:rsid w:val="00AD380F"/>
    <w:rsid w:val="00AE48E1"/>
    <w:rsid w:val="00B26364"/>
    <w:rsid w:val="00B678BA"/>
    <w:rsid w:val="00C14AD4"/>
    <w:rsid w:val="00C14F09"/>
    <w:rsid w:val="00CB4C5F"/>
    <w:rsid w:val="00D9281F"/>
    <w:rsid w:val="00D94075"/>
    <w:rsid w:val="00E00607"/>
    <w:rsid w:val="00E61470"/>
    <w:rsid w:val="00E7002A"/>
    <w:rsid w:val="00F87A3E"/>
    <w:rsid w:val="00FA7046"/>
    <w:rsid w:val="00FA7392"/>
    <w:rsid w:val="00FE0AF7"/>
    <w:rsid w:val="7A18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67BE"/>
  <w15:chartTrackingRefBased/>
  <w15:docId w15:val="{7A3B4CC4-46E0-4A9B-A746-886623E1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6263"/>
    <w:pPr>
      <w:ind w:left="720"/>
      <w:contextualSpacing/>
    </w:pPr>
  </w:style>
  <w:style w:type="paragraph" w:styleId="BalloonText">
    <w:name w:val="Balloon Text"/>
    <w:basedOn w:val="Normal"/>
    <w:link w:val="BalloonTextChar"/>
    <w:uiPriority w:val="99"/>
    <w:semiHidden/>
    <w:unhideWhenUsed/>
    <w:rsid w:val="00A07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14"/>
    <w:rPr>
      <w:rFonts w:ascii="Segoe UI" w:hAnsi="Segoe UI" w:cs="Segoe UI"/>
      <w:sz w:val="18"/>
      <w:szCs w:val="18"/>
    </w:rPr>
  </w:style>
  <w:style w:type="paragraph" w:styleId="Header">
    <w:name w:val="header"/>
    <w:basedOn w:val="Normal"/>
    <w:link w:val="HeaderChar"/>
    <w:uiPriority w:val="99"/>
    <w:unhideWhenUsed/>
    <w:rsid w:val="0021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765"/>
  </w:style>
  <w:style w:type="paragraph" w:styleId="Footer">
    <w:name w:val="footer"/>
    <w:basedOn w:val="Normal"/>
    <w:link w:val="FooterChar"/>
    <w:uiPriority w:val="99"/>
    <w:unhideWhenUsed/>
    <w:rsid w:val="0021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765"/>
  </w:style>
  <w:style w:type="paragraph" w:styleId="NormalWeb">
    <w:name w:val="Normal (Web)"/>
    <w:basedOn w:val="Normal"/>
    <w:uiPriority w:val="99"/>
    <w:semiHidden/>
    <w:unhideWhenUsed/>
    <w:rsid w:val="001F0E9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7002A"/>
    <w:rPr>
      <w:color w:val="0563C1" w:themeColor="hyperlink"/>
      <w:u w:val="single"/>
    </w:rPr>
  </w:style>
  <w:style w:type="paragraph" w:styleId="BodyText">
    <w:name w:val="Body Text"/>
    <w:basedOn w:val="Normal"/>
    <w:link w:val="BodyTextChar"/>
    <w:uiPriority w:val="1"/>
    <w:qFormat/>
    <w:rsid w:val="0087083F"/>
    <w:pPr>
      <w:widowControl w:val="0"/>
      <w:autoSpaceDE w:val="0"/>
      <w:autoSpaceDN w:val="0"/>
      <w:adjustRightInd w:val="0"/>
      <w:spacing w:after="0" w:line="240" w:lineRule="auto"/>
    </w:pPr>
    <w:rPr>
      <w:rFonts w:ascii="Century Gothic" w:eastAsiaTheme="minorEastAsia" w:hAnsi="Century Gothic" w:cs="Century Gothic"/>
      <w:sz w:val="24"/>
      <w:szCs w:val="24"/>
    </w:rPr>
  </w:style>
  <w:style w:type="character" w:customStyle="1" w:styleId="BodyTextChar">
    <w:name w:val="Body Text Char"/>
    <w:basedOn w:val="DefaultParagraphFont"/>
    <w:link w:val="BodyText"/>
    <w:uiPriority w:val="1"/>
    <w:rsid w:val="0087083F"/>
    <w:rPr>
      <w:rFonts w:ascii="Century Gothic" w:eastAsiaTheme="minorEastAsia" w:hAnsi="Century Gothic" w:cs="Century Gothic"/>
      <w:sz w:val="24"/>
      <w:szCs w:val="24"/>
    </w:rPr>
  </w:style>
  <w:style w:type="character" w:styleId="FollowedHyperlink">
    <w:name w:val="FollowedHyperlink"/>
    <w:basedOn w:val="DefaultParagraphFont"/>
    <w:uiPriority w:val="99"/>
    <w:semiHidden/>
    <w:unhideWhenUsed/>
    <w:rsid w:val="00B678BA"/>
    <w:rPr>
      <w:color w:val="954F72" w:themeColor="followedHyperlink"/>
      <w:u w:val="single"/>
    </w:rPr>
  </w:style>
  <w:style w:type="character" w:styleId="UnresolvedMention">
    <w:name w:val="Unresolved Mention"/>
    <w:basedOn w:val="DefaultParagraphFont"/>
    <w:uiPriority w:val="99"/>
    <w:semiHidden/>
    <w:unhideWhenUsed/>
    <w:rsid w:val="00B678BA"/>
    <w:rPr>
      <w:color w:val="605E5C"/>
      <w:shd w:val="clear" w:color="auto" w:fill="E1DFDD"/>
    </w:rPr>
  </w:style>
  <w:style w:type="paragraph" w:customStyle="1" w:styleId="xxmsonormal">
    <w:name w:val="x_x_msonormal"/>
    <w:basedOn w:val="Normal"/>
    <w:rsid w:val="008E6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9705">
      <w:bodyDiv w:val="1"/>
      <w:marLeft w:val="0"/>
      <w:marRight w:val="0"/>
      <w:marTop w:val="0"/>
      <w:marBottom w:val="0"/>
      <w:divBdr>
        <w:top w:val="none" w:sz="0" w:space="0" w:color="auto"/>
        <w:left w:val="none" w:sz="0" w:space="0" w:color="auto"/>
        <w:bottom w:val="none" w:sz="0" w:space="0" w:color="auto"/>
        <w:right w:val="none" w:sz="0" w:space="0" w:color="auto"/>
      </w:divBdr>
    </w:div>
    <w:div w:id="10365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dreports.com/best-colleges/healthcare-administration?atid=G2bG1SpRELNVTPCoxmoPwXqMyToM5MC3&amp;utm_action=cl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 Dreyfuss</dc:creator>
  <cp:keywords/>
  <dc:description/>
  <cp:lastModifiedBy>Brigid Hernandez</cp:lastModifiedBy>
  <cp:revision>5</cp:revision>
  <cp:lastPrinted>2020-03-06T16:41:00Z</cp:lastPrinted>
  <dcterms:created xsi:type="dcterms:W3CDTF">2021-05-11T14:02:00Z</dcterms:created>
  <dcterms:modified xsi:type="dcterms:W3CDTF">2021-05-11T16:09:00Z</dcterms:modified>
</cp:coreProperties>
</file>