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CBE5D" w14:textId="77777777" w:rsidR="004368BB" w:rsidRDefault="00624A61" w:rsidP="00F744B5">
      <w:pPr>
        <w:rPr>
          <w:rFonts w:ascii="Times New Roman" w:hAnsi="Times New Roman" w:cs="Times New Roman"/>
          <w:sz w:val="24"/>
          <w:szCs w:val="24"/>
        </w:rPr>
      </w:pPr>
      <w:r>
        <w:rPr>
          <w:rFonts w:ascii="Times New Roman" w:hAnsi="Times New Roman" w:cs="Times New Roman"/>
          <w:b/>
          <w:sz w:val="32"/>
          <w:szCs w:val="32"/>
        </w:rPr>
        <w:t xml:space="preserve">Central Giant Cell Granuloma </w:t>
      </w:r>
      <w:r>
        <w:rPr>
          <w:rFonts w:ascii="Times New Roman" w:hAnsi="Times New Roman" w:cs="Times New Roman"/>
          <w:sz w:val="24"/>
          <w:szCs w:val="24"/>
        </w:rPr>
        <w:br/>
      </w:r>
      <w:r w:rsidRPr="0015729C">
        <w:rPr>
          <w:rFonts w:ascii="Times New Roman" w:hAnsi="Times New Roman" w:cs="Times New Roman"/>
          <w:sz w:val="24"/>
          <w:szCs w:val="24"/>
        </w:rPr>
        <w:t xml:space="preserve">Victoria </w:t>
      </w:r>
      <w:proofErr w:type="spellStart"/>
      <w:r w:rsidRPr="0015729C">
        <w:rPr>
          <w:rFonts w:ascii="Times New Roman" w:hAnsi="Times New Roman" w:cs="Times New Roman"/>
          <w:sz w:val="24"/>
          <w:szCs w:val="24"/>
        </w:rPr>
        <w:t>Protopopova</w:t>
      </w:r>
      <w:proofErr w:type="spellEnd"/>
      <w:r w:rsidRPr="0015729C">
        <w:rPr>
          <w:rFonts w:ascii="Times New Roman" w:hAnsi="Times New Roman" w:cs="Times New Roman"/>
          <w:sz w:val="24"/>
          <w:szCs w:val="24"/>
        </w:rPr>
        <w:br/>
        <w:t xml:space="preserve">Oral Pathology </w:t>
      </w:r>
    </w:p>
    <w:p w14:paraId="7889268C" w14:textId="52D98CA4" w:rsidR="00F744B5" w:rsidRPr="004368BB" w:rsidRDefault="004368BB" w:rsidP="004368BB">
      <w:pPr>
        <w:rPr>
          <w:rFonts w:ascii="Times New Roman" w:hAnsi="Times New Roman" w:cs="Times New Roman"/>
          <w:sz w:val="24"/>
          <w:szCs w:val="24"/>
        </w:rPr>
      </w:pPr>
      <w:r>
        <w:rPr>
          <w:rFonts w:ascii="Times New Roman" w:hAnsi="Times New Roman" w:cs="Times New Roman"/>
          <w:sz w:val="24"/>
          <w:szCs w:val="24"/>
        </w:rPr>
        <w:t>11/</w:t>
      </w:r>
      <w:r w:rsidR="0061022F">
        <w:rPr>
          <w:rFonts w:ascii="Times New Roman" w:hAnsi="Times New Roman" w:cs="Times New Roman"/>
          <w:sz w:val="24"/>
          <w:szCs w:val="24"/>
        </w:rPr>
        <w:t>30</w:t>
      </w:r>
      <w:r>
        <w:rPr>
          <w:rFonts w:ascii="Times New Roman" w:hAnsi="Times New Roman" w:cs="Times New Roman"/>
          <w:sz w:val="24"/>
          <w:szCs w:val="24"/>
        </w:rPr>
        <w:t>/20</w:t>
      </w:r>
      <w:r w:rsidR="00624A61" w:rsidRPr="0015729C">
        <w:rPr>
          <w:rFonts w:ascii="Times New Roman" w:hAnsi="Times New Roman" w:cs="Times New Roman"/>
          <w:sz w:val="24"/>
          <w:szCs w:val="24"/>
        </w:rPr>
        <w:br/>
        <w:t xml:space="preserve">   </w:t>
      </w:r>
      <w:r w:rsidR="00624A61" w:rsidRPr="0015729C">
        <w:rPr>
          <w:rFonts w:ascii="Times New Roman" w:hAnsi="Times New Roman" w:cs="Times New Roman"/>
          <w:sz w:val="24"/>
          <w:szCs w:val="24"/>
        </w:rPr>
        <w:br/>
      </w:r>
      <w:r w:rsidR="00F744B5" w:rsidRPr="0015729C">
        <w:rPr>
          <w:rFonts w:ascii="Times New Roman" w:hAnsi="Times New Roman" w:cs="Times New Roman"/>
          <w:color w:val="000000"/>
          <w:sz w:val="24"/>
          <w:szCs w:val="24"/>
          <w:shd w:val="clear" w:color="auto" w:fill="FFFFFF"/>
        </w:rPr>
        <w:t xml:space="preserve">    Central giant cell granuloma (CGCG) is an intraosseous benign bony lesion that consists of fibroblast containing multinucleated giant cells. CGCG generally happens on the mandible however can likewise happen on the maxilla. CGCG can be moderate developing and fast developing. Slow-developing CGCG is asymptomatic and is non-forceful. Quick becoming CGCG is painful, excruciating, can cause teeth displacement and root resorption. CGCG represents absolute of 7% of all considerate </w:t>
      </w:r>
      <w:r w:rsidR="0061022F" w:rsidRPr="0015729C">
        <w:rPr>
          <w:rFonts w:ascii="Times New Roman" w:hAnsi="Times New Roman" w:cs="Times New Roman"/>
          <w:color w:val="000000"/>
          <w:sz w:val="24"/>
          <w:szCs w:val="24"/>
          <w:shd w:val="clear" w:color="auto" w:fill="FFFFFF"/>
        </w:rPr>
        <w:t>tumors</w:t>
      </w:r>
      <w:r w:rsidR="00F744B5" w:rsidRPr="0015729C">
        <w:rPr>
          <w:rFonts w:ascii="Times New Roman" w:hAnsi="Times New Roman" w:cs="Times New Roman"/>
          <w:color w:val="000000"/>
          <w:sz w:val="24"/>
          <w:szCs w:val="24"/>
          <w:shd w:val="clear" w:color="auto" w:fill="FFFFFF"/>
        </w:rPr>
        <w:t xml:space="preserve"> of the jaw. Although CGCG generally happens in the jaw and facial bones, instances of central giant cell granuloma were likewise been accounted for in the cranial vault and little bones of hands and feet</w:t>
      </w:r>
    </w:p>
    <w:p w14:paraId="1E4C9447" w14:textId="1AEFE2FC" w:rsidR="00F744B5" w:rsidRPr="0015729C" w:rsidRDefault="00F744B5" w:rsidP="0015729C">
      <w:pPr>
        <w:spacing w:line="360" w:lineRule="auto"/>
        <w:rPr>
          <w:rFonts w:ascii="Times New Roman" w:hAnsi="Times New Roman" w:cs="Times New Roman"/>
          <w:sz w:val="24"/>
          <w:szCs w:val="24"/>
        </w:rPr>
      </w:pPr>
      <w:r w:rsidRPr="0015729C">
        <w:rPr>
          <w:rFonts w:ascii="Times New Roman" w:hAnsi="Times New Roman" w:cs="Times New Roman"/>
          <w:b/>
          <w:sz w:val="24"/>
          <w:szCs w:val="24"/>
          <w:u w:val="single"/>
        </w:rPr>
        <w:t>Etiology:</w:t>
      </w:r>
      <w:r w:rsidRPr="0015729C">
        <w:rPr>
          <w:rFonts w:ascii="Times New Roman" w:hAnsi="Times New Roman" w:cs="Times New Roman"/>
          <w:b/>
          <w:sz w:val="24"/>
          <w:szCs w:val="24"/>
        </w:rPr>
        <w:t xml:space="preserve"> </w:t>
      </w:r>
      <w:r w:rsidRPr="0015729C">
        <w:rPr>
          <w:rFonts w:ascii="Times New Roman" w:hAnsi="Times New Roman" w:cs="Times New Roman"/>
          <w:sz w:val="24"/>
          <w:szCs w:val="24"/>
        </w:rPr>
        <w:br/>
        <w:t xml:space="preserve">Central giant cell granuloma </w:t>
      </w:r>
      <w:r w:rsidR="00095A08" w:rsidRPr="0015729C">
        <w:rPr>
          <w:rFonts w:ascii="Times New Roman" w:hAnsi="Times New Roman" w:cs="Times New Roman"/>
          <w:sz w:val="24"/>
          <w:szCs w:val="24"/>
        </w:rPr>
        <w:t xml:space="preserve">etiology is </w:t>
      </w:r>
      <w:r w:rsidRPr="0015729C">
        <w:rPr>
          <w:rFonts w:ascii="Times New Roman" w:hAnsi="Times New Roman" w:cs="Times New Roman"/>
          <w:sz w:val="24"/>
          <w:szCs w:val="24"/>
        </w:rPr>
        <w:t>unknown but two theories of its etiology exist:  Benign neoplasm and Reactive lesion.</w:t>
      </w:r>
      <w:r w:rsidRPr="0015729C">
        <w:rPr>
          <w:rFonts w:ascii="Times New Roman" w:hAnsi="Times New Roman" w:cs="Times New Roman"/>
          <w:sz w:val="24"/>
          <w:szCs w:val="24"/>
        </w:rPr>
        <w:tab/>
      </w:r>
      <w:r w:rsidRPr="0015729C">
        <w:rPr>
          <w:rFonts w:ascii="Times New Roman" w:hAnsi="Times New Roman" w:cs="Times New Roman"/>
          <w:sz w:val="24"/>
          <w:szCs w:val="24"/>
        </w:rPr>
        <w:tab/>
      </w:r>
    </w:p>
    <w:p w14:paraId="4218C452" w14:textId="5BF3FA2C" w:rsidR="00F744B5" w:rsidRPr="0015729C" w:rsidRDefault="00F744B5" w:rsidP="0015729C">
      <w:pPr>
        <w:spacing w:line="360" w:lineRule="auto"/>
        <w:rPr>
          <w:rFonts w:ascii="Times New Roman" w:hAnsi="Times New Roman" w:cs="Times New Roman"/>
          <w:sz w:val="24"/>
          <w:szCs w:val="24"/>
        </w:rPr>
      </w:pPr>
      <w:r w:rsidRPr="0015729C">
        <w:rPr>
          <w:rFonts w:ascii="Times New Roman" w:hAnsi="Times New Roman" w:cs="Times New Roman"/>
          <w:b/>
          <w:sz w:val="24"/>
          <w:szCs w:val="24"/>
          <w:u w:val="single"/>
        </w:rPr>
        <w:t>Clinical Presentation:</w:t>
      </w:r>
      <w:r w:rsidRPr="0015729C">
        <w:rPr>
          <w:rFonts w:ascii="Times New Roman" w:hAnsi="Times New Roman" w:cs="Times New Roman"/>
          <w:b/>
          <w:sz w:val="24"/>
          <w:szCs w:val="24"/>
        </w:rPr>
        <w:t xml:space="preserve"> </w:t>
      </w:r>
      <w:r w:rsidRPr="0015729C">
        <w:rPr>
          <w:rFonts w:ascii="Times New Roman" w:hAnsi="Times New Roman" w:cs="Times New Roman"/>
          <w:sz w:val="24"/>
          <w:szCs w:val="24"/>
        </w:rPr>
        <w:br/>
        <w:t>Clinically CGCG can be present as firm non-tender, non-mobile and hard to palpation nodule. Surface changes can be none or blue-to-purple in shading. CGCG can cause recognizable facial deviation.</w:t>
      </w:r>
    </w:p>
    <w:p w14:paraId="28632CD5" w14:textId="63071F61" w:rsidR="004337A7" w:rsidRPr="0015729C" w:rsidRDefault="004337A7" w:rsidP="0015729C">
      <w:pPr>
        <w:spacing w:line="360" w:lineRule="auto"/>
        <w:rPr>
          <w:rFonts w:ascii="Times New Roman" w:hAnsi="Times New Roman" w:cs="Times New Roman"/>
          <w:sz w:val="24"/>
          <w:szCs w:val="24"/>
        </w:rPr>
      </w:pPr>
      <w:r w:rsidRPr="0015729C">
        <w:rPr>
          <w:rFonts w:ascii="Times New Roman" w:hAnsi="Times New Roman" w:cs="Times New Roman"/>
          <w:b/>
          <w:sz w:val="24"/>
          <w:szCs w:val="24"/>
          <w:u w:val="single"/>
        </w:rPr>
        <w:t>Demographic:</w:t>
      </w:r>
    </w:p>
    <w:p w14:paraId="3D63DF38" w14:textId="39D15881" w:rsidR="00F744B5" w:rsidRPr="004368BB" w:rsidRDefault="00095A08" w:rsidP="0015729C">
      <w:pPr>
        <w:spacing w:line="360" w:lineRule="auto"/>
        <w:rPr>
          <w:rFonts w:ascii="Times New Roman" w:hAnsi="Times New Roman" w:cs="Times New Roman"/>
          <w:sz w:val="24"/>
          <w:szCs w:val="24"/>
        </w:rPr>
      </w:pPr>
      <w:r w:rsidRPr="0015729C">
        <w:rPr>
          <w:rFonts w:ascii="Times New Roman" w:hAnsi="Times New Roman" w:cs="Times New Roman"/>
          <w:sz w:val="24"/>
          <w:szCs w:val="24"/>
        </w:rPr>
        <w:t>CGCG generally occurs at the initial thirty years of life and influences females more than male, 65% of cases were reported in a female. At 65-75%, CGCG has commonness to mandible than the maxilla. No particular preference to race had been reported</w:t>
      </w:r>
    </w:p>
    <w:p w14:paraId="3F05C8F1" w14:textId="290BD422" w:rsidR="00030016" w:rsidRPr="0015729C" w:rsidRDefault="00030016" w:rsidP="0015729C">
      <w:pPr>
        <w:spacing w:line="360" w:lineRule="auto"/>
        <w:rPr>
          <w:rFonts w:ascii="Times New Roman" w:hAnsi="Times New Roman" w:cs="Times New Roman"/>
          <w:b/>
          <w:sz w:val="24"/>
          <w:szCs w:val="24"/>
          <w:u w:val="single"/>
        </w:rPr>
      </w:pPr>
      <w:r w:rsidRPr="0015729C">
        <w:rPr>
          <w:rFonts w:ascii="Times New Roman" w:hAnsi="Times New Roman" w:cs="Times New Roman"/>
          <w:b/>
          <w:sz w:val="24"/>
          <w:szCs w:val="24"/>
          <w:u w:val="single"/>
        </w:rPr>
        <w:t xml:space="preserve"> Histology/ Biopsy / Radiographs:</w:t>
      </w:r>
    </w:p>
    <w:p w14:paraId="196E3EBE" w14:textId="77777777" w:rsidR="00095A08" w:rsidRPr="0015729C" w:rsidRDefault="00095A08" w:rsidP="0015729C">
      <w:pPr>
        <w:spacing w:line="360" w:lineRule="auto"/>
        <w:rPr>
          <w:rFonts w:ascii="Times New Roman" w:hAnsi="Times New Roman" w:cs="Times New Roman"/>
          <w:bCs/>
          <w:sz w:val="24"/>
          <w:szCs w:val="24"/>
        </w:rPr>
      </w:pPr>
      <w:r w:rsidRPr="0015729C">
        <w:rPr>
          <w:rFonts w:ascii="Times New Roman" w:hAnsi="Times New Roman" w:cs="Times New Roman"/>
          <w:bCs/>
          <w:sz w:val="24"/>
          <w:szCs w:val="24"/>
        </w:rPr>
        <w:t xml:space="preserve">Intra oral biopsy is taken for CGCG that uncovers: multinucleated giant cells. With the presence of drain, hemosiderin, osteoid and woven bone. </w:t>
      </w:r>
    </w:p>
    <w:p w14:paraId="1A496C85" w14:textId="08AD865B" w:rsidR="00095A08" w:rsidRPr="0015729C" w:rsidRDefault="00095A08" w:rsidP="0015729C">
      <w:pPr>
        <w:spacing w:line="360" w:lineRule="auto"/>
        <w:rPr>
          <w:rFonts w:ascii="Times New Roman" w:hAnsi="Times New Roman" w:cs="Times New Roman"/>
          <w:bCs/>
          <w:sz w:val="24"/>
          <w:szCs w:val="24"/>
        </w:rPr>
      </w:pPr>
      <w:r w:rsidRPr="0015729C">
        <w:rPr>
          <w:rFonts w:ascii="Times New Roman" w:hAnsi="Times New Roman" w:cs="Times New Roman"/>
          <w:bCs/>
          <w:sz w:val="24"/>
          <w:szCs w:val="24"/>
        </w:rPr>
        <w:t>Histological highlights of CGCG include exceptionally cell multinucleated giant cells with fusiform and round cells</w:t>
      </w:r>
    </w:p>
    <w:p w14:paraId="66E2776A" w14:textId="77777777" w:rsidR="00095A08" w:rsidRPr="0015729C" w:rsidRDefault="00095A08" w:rsidP="0015729C">
      <w:pPr>
        <w:spacing w:line="360" w:lineRule="auto"/>
        <w:rPr>
          <w:rFonts w:ascii="Times New Roman" w:hAnsi="Times New Roman" w:cs="Times New Roman"/>
          <w:bCs/>
          <w:sz w:val="24"/>
          <w:szCs w:val="24"/>
        </w:rPr>
      </w:pPr>
      <w:r w:rsidRPr="0015729C">
        <w:rPr>
          <w:rFonts w:ascii="Times New Roman" w:hAnsi="Times New Roman" w:cs="Times New Roman"/>
          <w:bCs/>
          <w:sz w:val="24"/>
          <w:szCs w:val="24"/>
        </w:rPr>
        <w:t xml:space="preserve">Radiographic highlights of CGCG are Radiolucent multilocular or unilocular lesion, with well-demarcated sclerotic borders. The fringe of the CGCG may have a scalloped appearance on the </w:t>
      </w:r>
      <w:r w:rsidRPr="0015729C">
        <w:rPr>
          <w:rFonts w:ascii="Times New Roman" w:hAnsi="Times New Roman" w:cs="Times New Roman"/>
          <w:bCs/>
          <w:sz w:val="24"/>
          <w:szCs w:val="24"/>
        </w:rPr>
        <w:lastRenderedPageBreak/>
        <w:t>radiographs. Loss of alveolar bone may be present. As CGCG gets more aggressive preformation of cortical bone is recognizable. The primary radiographic indication of CGCG can be the loss of lamina dura.</w:t>
      </w:r>
    </w:p>
    <w:p w14:paraId="0B1FE4EE" w14:textId="088B665B" w:rsidR="00D52391" w:rsidRPr="0015729C" w:rsidRDefault="00D20EA7" w:rsidP="0015729C">
      <w:pPr>
        <w:spacing w:line="360" w:lineRule="auto"/>
        <w:rPr>
          <w:rFonts w:ascii="Times New Roman" w:hAnsi="Times New Roman" w:cs="Times New Roman"/>
          <w:bCs/>
          <w:sz w:val="24"/>
          <w:szCs w:val="24"/>
        </w:rPr>
      </w:pPr>
      <w:r w:rsidRPr="0015729C">
        <w:rPr>
          <w:rFonts w:ascii="Times New Roman" w:hAnsi="Times New Roman" w:cs="Times New Roman"/>
          <w:noProof/>
          <w:sz w:val="24"/>
          <w:szCs w:val="24"/>
        </w:rPr>
        <w:drawing>
          <wp:anchor distT="0" distB="0" distL="114300" distR="114300" simplePos="0" relativeHeight="251660288" behindDoc="0" locked="0" layoutInCell="1" allowOverlap="1" wp14:anchorId="3B13D753" wp14:editId="1E6B699A">
            <wp:simplePos x="0" y="0"/>
            <wp:positionH relativeFrom="margin">
              <wp:posOffset>3980815</wp:posOffset>
            </wp:positionH>
            <wp:positionV relativeFrom="paragraph">
              <wp:posOffset>168275</wp:posOffset>
            </wp:positionV>
            <wp:extent cx="2492381" cy="1286399"/>
            <wp:effectExtent l="0" t="0" r="3175" b="9525"/>
            <wp:wrapNone/>
            <wp:docPr id="3" name="Picture 3" descr="Denosumab treatment for aggressive multiple recurrent familial central  giant-cell granulomas Rytkonen E, Ottavainen V, Rytkönen A, Uusitalo S,  Lehenkari P, Sándor GK - Ann Maxillofac S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nosumab treatment for aggressive multiple recurrent familial central  giant-cell granulomas Rytkonen E, Ottavainen V, Rytkönen A, Uusitalo S,  Lehenkari P, Sándor GK - Ann Maxillofac Sur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2381" cy="12863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29C">
        <w:rPr>
          <w:rFonts w:ascii="Times New Roman" w:hAnsi="Times New Roman" w:cs="Times New Roman"/>
          <w:noProof/>
          <w:sz w:val="24"/>
          <w:szCs w:val="24"/>
        </w:rPr>
        <w:drawing>
          <wp:anchor distT="0" distB="0" distL="114300" distR="114300" simplePos="0" relativeHeight="251659264" behindDoc="0" locked="0" layoutInCell="1" allowOverlap="1" wp14:anchorId="5BF21943" wp14:editId="239AED5A">
            <wp:simplePos x="0" y="0"/>
            <wp:positionH relativeFrom="margin">
              <wp:posOffset>2009775</wp:posOffset>
            </wp:positionH>
            <wp:positionV relativeFrom="paragraph">
              <wp:posOffset>187325</wp:posOffset>
            </wp:positionV>
            <wp:extent cx="1943100" cy="1295400"/>
            <wp:effectExtent l="0" t="0" r="0" b="0"/>
            <wp:wrapNone/>
            <wp:docPr id="2" name="Picture 2" descr="Central giant-cell granulom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ntral giant-cell granuloma - Wikipe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29C">
        <w:rPr>
          <w:rFonts w:ascii="Times New Roman" w:hAnsi="Times New Roman" w:cs="Times New Roman"/>
          <w:noProof/>
          <w:sz w:val="24"/>
          <w:szCs w:val="24"/>
        </w:rPr>
        <w:drawing>
          <wp:anchor distT="0" distB="0" distL="114300" distR="114300" simplePos="0" relativeHeight="251658240" behindDoc="0" locked="0" layoutInCell="1" allowOverlap="1" wp14:anchorId="342702A2" wp14:editId="0BB1A9B4">
            <wp:simplePos x="0" y="0"/>
            <wp:positionH relativeFrom="margin">
              <wp:align>left</wp:align>
            </wp:positionH>
            <wp:positionV relativeFrom="paragraph">
              <wp:posOffset>191770</wp:posOffset>
            </wp:positionV>
            <wp:extent cx="1943100" cy="1239797"/>
            <wp:effectExtent l="0" t="0" r="0" b="0"/>
            <wp:wrapNone/>
            <wp:docPr id="1" name="Picture 1" descr="Recurrent Peripheral Giant Cell Granuloma: A Cas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urrent Peripheral Giant Cell Granuloma: A Case Repo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0140" cy="12442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9D5E7" w14:textId="2D7E1923" w:rsidR="00656492" w:rsidRPr="0015729C" w:rsidRDefault="00656492" w:rsidP="0015729C">
      <w:pPr>
        <w:spacing w:line="360" w:lineRule="auto"/>
        <w:rPr>
          <w:rFonts w:ascii="Times New Roman" w:hAnsi="Times New Roman" w:cs="Times New Roman"/>
          <w:sz w:val="24"/>
          <w:szCs w:val="24"/>
        </w:rPr>
      </w:pPr>
    </w:p>
    <w:p w14:paraId="13179296" w14:textId="4A0A84F6" w:rsidR="00D20EA7" w:rsidRPr="0015729C" w:rsidRDefault="00D20EA7" w:rsidP="0015729C">
      <w:pPr>
        <w:spacing w:line="360" w:lineRule="auto"/>
        <w:rPr>
          <w:rFonts w:ascii="Times New Roman" w:hAnsi="Times New Roman" w:cs="Times New Roman"/>
          <w:sz w:val="24"/>
          <w:szCs w:val="24"/>
        </w:rPr>
      </w:pPr>
    </w:p>
    <w:p w14:paraId="04659A94" w14:textId="7ECECEB8" w:rsidR="00D20EA7" w:rsidRPr="0015729C" w:rsidRDefault="00D20EA7" w:rsidP="0015729C">
      <w:pPr>
        <w:spacing w:line="360" w:lineRule="auto"/>
        <w:rPr>
          <w:rFonts w:ascii="Times New Roman" w:hAnsi="Times New Roman" w:cs="Times New Roman"/>
          <w:sz w:val="24"/>
          <w:szCs w:val="24"/>
        </w:rPr>
      </w:pPr>
    </w:p>
    <w:p w14:paraId="08B04A82" w14:textId="77777777" w:rsidR="009D5C21" w:rsidRPr="0015729C" w:rsidRDefault="009D5C21" w:rsidP="0015729C">
      <w:pPr>
        <w:spacing w:line="360" w:lineRule="auto"/>
        <w:rPr>
          <w:rFonts w:ascii="Times New Roman" w:hAnsi="Times New Roman" w:cs="Times New Roman"/>
          <w:sz w:val="24"/>
          <w:szCs w:val="24"/>
        </w:rPr>
      </w:pPr>
      <w:r w:rsidRPr="0015729C">
        <w:rPr>
          <w:rFonts w:ascii="Times New Roman" w:hAnsi="Times New Roman" w:cs="Times New Roman"/>
          <w:b/>
          <w:sz w:val="24"/>
          <w:szCs w:val="24"/>
          <w:u w:val="single"/>
        </w:rPr>
        <w:t>Differential Diagnosis:</w:t>
      </w:r>
      <w:r w:rsidRPr="0015729C">
        <w:rPr>
          <w:rFonts w:ascii="Times New Roman" w:hAnsi="Times New Roman" w:cs="Times New Roman"/>
          <w:sz w:val="24"/>
          <w:szCs w:val="24"/>
        </w:rPr>
        <w:br/>
        <w:t>CGCG can be mistaken for:</w:t>
      </w:r>
    </w:p>
    <w:p w14:paraId="6E272515" w14:textId="77777777"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r w:rsidRPr="0015729C">
        <w:rPr>
          <w:color w:val="000000"/>
        </w:rPr>
        <w:t>Ameloblastoma</w:t>
      </w:r>
    </w:p>
    <w:p w14:paraId="6EC677E2" w14:textId="77777777"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r w:rsidRPr="0015729C">
        <w:rPr>
          <w:color w:val="000000"/>
        </w:rPr>
        <w:t>Aneurysmal bone cysts</w:t>
      </w:r>
    </w:p>
    <w:p w14:paraId="4EF2109D" w14:textId="77777777"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proofErr w:type="spellStart"/>
      <w:r w:rsidRPr="0015729C">
        <w:rPr>
          <w:color w:val="000000"/>
        </w:rPr>
        <w:t>Cherubism</w:t>
      </w:r>
      <w:proofErr w:type="spellEnd"/>
    </w:p>
    <w:p w14:paraId="37742616" w14:textId="77777777"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r w:rsidRPr="0015729C">
        <w:rPr>
          <w:color w:val="000000"/>
        </w:rPr>
        <w:t>Hyperparathyroidism (brown tumor)</w:t>
      </w:r>
    </w:p>
    <w:p w14:paraId="7DE5E5AB" w14:textId="77777777"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r w:rsidRPr="0015729C">
        <w:rPr>
          <w:color w:val="000000"/>
        </w:rPr>
        <w:t xml:space="preserve">Odontogenic </w:t>
      </w:r>
      <w:proofErr w:type="spellStart"/>
      <w:r w:rsidRPr="0015729C">
        <w:rPr>
          <w:color w:val="000000"/>
        </w:rPr>
        <w:t>keratocyst</w:t>
      </w:r>
      <w:proofErr w:type="spellEnd"/>
    </w:p>
    <w:p w14:paraId="77A8BC7E" w14:textId="77777777"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r w:rsidRPr="0015729C">
        <w:rPr>
          <w:color w:val="000000"/>
          <w:shd w:val="clear" w:color="auto" w:fill="FFFFFF"/>
        </w:rPr>
        <w:t>Odontogenic myxoma</w:t>
      </w:r>
    </w:p>
    <w:p w14:paraId="7E83285C" w14:textId="785730A6" w:rsidR="009D5C21" w:rsidRPr="0015729C" w:rsidRDefault="009D5C21" w:rsidP="0015729C">
      <w:pPr>
        <w:pStyle w:val="NormalWeb"/>
        <w:numPr>
          <w:ilvl w:val="0"/>
          <w:numId w:val="1"/>
        </w:numPr>
        <w:shd w:val="clear" w:color="auto" w:fill="FFFFFF"/>
        <w:spacing w:before="0" w:beforeAutospacing="0" w:after="0" w:afterAutospacing="0" w:line="360" w:lineRule="auto"/>
        <w:rPr>
          <w:color w:val="000000"/>
        </w:rPr>
      </w:pPr>
      <w:r w:rsidRPr="0015729C">
        <w:rPr>
          <w:color w:val="000000"/>
        </w:rPr>
        <w:t>Paget disease</w:t>
      </w:r>
    </w:p>
    <w:p w14:paraId="05040436" w14:textId="0A4DFB46" w:rsidR="00D20EA7" w:rsidRPr="0015729C" w:rsidRDefault="00D20EA7" w:rsidP="0015729C">
      <w:pPr>
        <w:spacing w:line="360" w:lineRule="auto"/>
        <w:rPr>
          <w:rFonts w:ascii="Times New Roman" w:hAnsi="Times New Roman" w:cs="Times New Roman"/>
          <w:sz w:val="24"/>
          <w:szCs w:val="24"/>
        </w:rPr>
      </w:pPr>
    </w:p>
    <w:p w14:paraId="6C8A79FD" w14:textId="0594C5D4" w:rsidR="00D20EA7" w:rsidRPr="0015729C" w:rsidRDefault="00D20EA7" w:rsidP="0015729C">
      <w:pPr>
        <w:spacing w:line="360" w:lineRule="auto"/>
        <w:rPr>
          <w:rFonts w:ascii="Times New Roman" w:hAnsi="Times New Roman" w:cs="Times New Roman"/>
          <w:b/>
          <w:sz w:val="24"/>
          <w:szCs w:val="24"/>
          <w:u w:val="single"/>
        </w:rPr>
      </w:pPr>
      <w:r w:rsidRPr="0015729C">
        <w:rPr>
          <w:rFonts w:ascii="Times New Roman" w:hAnsi="Times New Roman" w:cs="Times New Roman"/>
          <w:b/>
          <w:sz w:val="24"/>
          <w:szCs w:val="24"/>
          <w:u w:val="single"/>
        </w:rPr>
        <w:t>Treatment:</w:t>
      </w:r>
    </w:p>
    <w:p w14:paraId="426358D6" w14:textId="38C62BBA" w:rsidR="009D5C21" w:rsidRDefault="009D5C21" w:rsidP="0015729C">
      <w:pPr>
        <w:spacing w:line="360" w:lineRule="auto"/>
        <w:rPr>
          <w:rFonts w:ascii="Times New Roman" w:hAnsi="Times New Roman" w:cs="Times New Roman"/>
          <w:bCs/>
          <w:sz w:val="24"/>
          <w:szCs w:val="24"/>
        </w:rPr>
      </w:pPr>
      <w:r w:rsidRPr="0015729C">
        <w:rPr>
          <w:rFonts w:ascii="Times New Roman" w:hAnsi="Times New Roman" w:cs="Times New Roman"/>
          <w:bCs/>
          <w:sz w:val="24"/>
          <w:szCs w:val="24"/>
        </w:rPr>
        <w:t>The m</w:t>
      </w:r>
      <w:r w:rsidR="00193A38" w:rsidRPr="0015729C">
        <w:rPr>
          <w:rFonts w:ascii="Times New Roman" w:hAnsi="Times New Roman" w:cs="Times New Roman"/>
          <w:bCs/>
          <w:sz w:val="24"/>
          <w:szCs w:val="24"/>
        </w:rPr>
        <w:t xml:space="preserve">ost common treatment of CGCG is curettage. Extraction by an Oral Surgeon may likewise be a decision in treating CGCG, removal of the peripheral bony margins to improve the outcome. Intralesional infusions of corticosteroid have been discovered to be a decent decision of treatment, because of inhibition </w:t>
      </w:r>
      <w:r w:rsidR="0061022F" w:rsidRPr="0015729C">
        <w:rPr>
          <w:rFonts w:ascii="Times New Roman" w:hAnsi="Times New Roman" w:cs="Times New Roman"/>
          <w:bCs/>
          <w:sz w:val="24"/>
          <w:szCs w:val="24"/>
        </w:rPr>
        <w:t>of osteoclasts</w:t>
      </w:r>
      <w:r w:rsidR="00193A38" w:rsidRPr="0015729C">
        <w:rPr>
          <w:rFonts w:ascii="Times New Roman" w:hAnsi="Times New Roman" w:cs="Times New Roman"/>
          <w:bCs/>
          <w:sz w:val="24"/>
          <w:szCs w:val="24"/>
        </w:rPr>
        <w:t xml:space="preserve"> action. Treatment with interferon-alpha shows great results in treating CGCG. Treating CGCG with bisphosphonates is viewed as an option in contrast to careful treatment. Aggressive phases of CGCG requires surgical treatment that should be possible through resection of the affected region. Non treated CGCG can become more aggressive and increase in size.</w:t>
      </w:r>
    </w:p>
    <w:p w14:paraId="27E5269E" w14:textId="77777777" w:rsidR="0061022F" w:rsidRPr="004368BB" w:rsidRDefault="0061022F" w:rsidP="0015729C">
      <w:pPr>
        <w:spacing w:line="360" w:lineRule="auto"/>
        <w:rPr>
          <w:rFonts w:ascii="Times New Roman" w:hAnsi="Times New Roman" w:cs="Times New Roman"/>
          <w:bCs/>
          <w:sz w:val="24"/>
          <w:szCs w:val="24"/>
        </w:rPr>
      </w:pPr>
    </w:p>
    <w:p w14:paraId="7E33117D" w14:textId="77777777" w:rsidR="00D20EA7" w:rsidRPr="0015729C" w:rsidRDefault="00D20EA7" w:rsidP="0015729C">
      <w:pPr>
        <w:pStyle w:val="NormalWeb"/>
        <w:shd w:val="clear" w:color="auto" w:fill="FFFFFF"/>
        <w:spacing w:before="0" w:beforeAutospacing="0" w:after="0" w:afterAutospacing="0" w:line="360" w:lineRule="auto"/>
        <w:rPr>
          <w:b/>
          <w:u w:val="single"/>
        </w:rPr>
      </w:pPr>
      <w:r w:rsidRPr="0015729C">
        <w:rPr>
          <w:b/>
          <w:u w:val="single"/>
        </w:rPr>
        <w:lastRenderedPageBreak/>
        <w:t>Prognosis:</w:t>
      </w:r>
    </w:p>
    <w:p w14:paraId="35DC5401" w14:textId="18BB65CE" w:rsidR="009D5C21" w:rsidRPr="004368BB" w:rsidRDefault="00D20EA7" w:rsidP="004368BB">
      <w:pPr>
        <w:spacing w:line="360" w:lineRule="auto"/>
        <w:rPr>
          <w:rFonts w:ascii="Times New Roman" w:hAnsi="Times New Roman" w:cs="Times New Roman"/>
          <w:sz w:val="24"/>
          <w:szCs w:val="24"/>
        </w:rPr>
      </w:pPr>
      <w:r w:rsidRPr="0015729C">
        <w:rPr>
          <w:rFonts w:ascii="Times New Roman" w:hAnsi="Times New Roman" w:cs="Times New Roman"/>
          <w:sz w:val="24"/>
          <w:szCs w:val="24"/>
        </w:rPr>
        <w:t>Guess of CGCG is acceptable if the lesion was completely removed. Treatment that performed at the beginning phases have been indicated better results and diminished level of reoccurrence rate.</w:t>
      </w:r>
    </w:p>
    <w:p w14:paraId="26FF93F8" w14:textId="0F632A8D" w:rsidR="009D5C21" w:rsidRPr="004368BB" w:rsidRDefault="009D5C21" w:rsidP="0015729C">
      <w:pPr>
        <w:spacing w:line="360" w:lineRule="auto"/>
        <w:rPr>
          <w:rFonts w:ascii="Times New Roman" w:hAnsi="Times New Roman" w:cs="Times New Roman"/>
          <w:b/>
          <w:sz w:val="24"/>
          <w:szCs w:val="24"/>
          <w:u w:val="single"/>
        </w:rPr>
      </w:pPr>
      <w:r w:rsidRPr="004368BB">
        <w:rPr>
          <w:rFonts w:ascii="Times New Roman" w:hAnsi="Times New Roman" w:cs="Times New Roman"/>
          <w:b/>
          <w:sz w:val="24"/>
          <w:szCs w:val="24"/>
          <w:u w:val="single"/>
        </w:rPr>
        <w:t>Professional Relevance:</w:t>
      </w:r>
    </w:p>
    <w:p w14:paraId="7DCAB01E" w14:textId="77777777" w:rsidR="0015729C" w:rsidRPr="0015729C" w:rsidRDefault="0015729C" w:rsidP="0015729C">
      <w:pPr>
        <w:spacing w:line="360" w:lineRule="auto"/>
        <w:rPr>
          <w:rFonts w:ascii="Times New Roman" w:hAnsi="Times New Roman" w:cs="Times New Roman"/>
          <w:sz w:val="24"/>
          <w:szCs w:val="24"/>
        </w:rPr>
      </w:pPr>
      <w:r w:rsidRPr="0015729C">
        <w:rPr>
          <w:rFonts w:ascii="Times New Roman" w:hAnsi="Times New Roman" w:cs="Times New Roman"/>
          <w:sz w:val="24"/>
          <w:szCs w:val="24"/>
        </w:rPr>
        <w:t>Central giant cell granuloma and some other neurotic lesions generally apply to the profession of dental hygienist. Although dental hygienist is not permitted to diagnose, dental hygienist should to be knowledgeable, recognize the lesion and give a referral to the patient.</w:t>
      </w:r>
    </w:p>
    <w:p w14:paraId="2179A952" w14:textId="6F204E7C" w:rsidR="00E20B5F" w:rsidRDefault="0015729C" w:rsidP="0015729C">
      <w:pPr>
        <w:spacing w:line="360" w:lineRule="auto"/>
        <w:rPr>
          <w:rFonts w:ascii="Times New Roman" w:hAnsi="Times New Roman" w:cs="Times New Roman"/>
          <w:sz w:val="24"/>
          <w:szCs w:val="24"/>
        </w:rPr>
      </w:pPr>
      <w:r w:rsidRPr="0015729C">
        <w:rPr>
          <w:rFonts w:ascii="Times New Roman" w:hAnsi="Times New Roman" w:cs="Times New Roman"/>
          <w:sz w:val="24"/>
          <w:szCs w:val="24"/>
        </w:rPr>
        <w:t>Another purpose why this applies to the dental hygienist is because patient general come for cleaning and dental specialist visit generally happens when there is actual pain or something has broken. White dental hygienist doing intro oral exam is easy to find out some abnormal lesion. General doctor or oral pathologist has to be informed if there is any lesion has been found. It’s our responsibility to give the referral and educate the patient</w:t>
      </w:r>
      <w:r w:rsidR="00E20B5F" w:rsidRPr="0015729C">
        <w:rPr>
          <w:rFonts w:ascii="Times New Roman" w:hAnsi="Times New Roman" w:cs="Times New Roman"/>
          <w:sz w:val="24"/>
          <w:szCs w:val="24"/>
        </w:rPr>
        <w:t>.</w:t>
      </w:r>
    </w:p>
    <w:p w14:paraId="456FE747" w14:textId="71086EEC" w:rsidR="0039547C" w:rsidRDefault="0039547C" w:rsidP="0015729C">
      <w:pPr>
        <w:spacing w:line="360" w:lineRule="auto"/>
        <w:rPr>
          <w:rFonts w:ascii="Times New Roman" w:hAnsi="Times New Roman" w:cs="Times New Roman"/>
          <w:sz w:val="24"/>
          <w:szCs w:val="24"/>
        </w:rPr>
      </w:pPr>
    </w:p>
    <w:p w14:paraId="6B9455A8" w14:textId="34A70D09" w:rsidR="0039547C" w:rsidRDefault="0039547C" w:rsidP="0015729C">
      <w:pPr>
        <w:spacing w:line="360" w:lineRule="auto"/>
        <w:rPr>
          <w:rFonts w:ascii="Times New Roman" w:hAnsi="Times New Roman" w:cs="Times New Roman"/>
          <w:sz w:val="24"/>
          <w:szCs w:val="24"/>
        </w:rPr>
      </w:pPr>
    </w:p>
    <w:p w14:paraId="07ABE79E" w14:textId="68E1479A" w:rsidR="0039547C" w:rsidRDefault="0039547C" w:rsidP="0015729C">
      <w:pPr>
        <w:spacing w:line="360" w:lineRule="auto"/>
        <w:rPr>
          <w:rFonts w:ascii="Times New Roman" w:hAnsi="Times New Roman" w:cs="Times New Roman"/>
          <w:sz w:val="24"/>
          <w:szCs w:val="24"/>
        </w:rPr>
      </w:pPr>
    </w:p>
    <w:p w14:paraId="2584C96C" w14:textId="722FEBFA" w:rsidR="0039547C" w:rsidRDefault="0039547C" w:rsidP="0015729C">
      <w:pPr>
        <w:spacing w:line="360" w:lineRule="auto"/>
        <w:rPr>
          <w:rFonts w:ascii="Times New Roman" w:hAnsi="Times New Roman" w:cs="Times New Roman"/>
          <w:sz w:val="24"/>
          <w:szCs w:val="24"/>
        </w:rPr>
      </w:pPr>
    </w:p>
    <w:p w14:paraId="337CDB6B" w14:textId="57FA6C9D" w:rsidR="0039547C" w:rsidRDefault="0039547C" w:rsidP="0015729C">
      <w:pPr>
        <w:spacing w:line="360" w:lineRule="auto"/>
        <w:rPr>
          <w:rFonts w:ascii="Times New Roman" w:hAnsi="Times New Roman" w:cs="Times New Roman"/>
          <w:sz w:val="24"/>
          <w:szCs w:val="24"/>
        </w:rPr>
      </w:pPr>
    </w:p>
    <w:p w14:paraId="3D25AD95" w14:textId="69811234" w:rsidR="0039547C" w:rsidRDefault="0039547C" w:rsidP="0015729C">
      <w:pPr>
        <w:spacing w:line="360" w:lineRule="auto"/>
        <w:rPr>
          <w:rFonts w:ascii="Times New Roman" w:hAnsi="Times New Roman" w:cs="Times New Roman"/>
          <w:sz w:val="24"/>
          <w:szCs w:val="24"/>
        </w:rPr>
      </w:pPr>
    </w:p>
    <w:p w14:paraId="17A4565F" w14:textId="16922932" w:rsidR="0039547C" w:rsidRDefault="0039547C" w:rsidP="0015729C">
      <w:pPr>
        <w:spacing w:line="360" w:lineRule="auto"/>
        <w:rPr>
          <w:rFonts w:ascii="Times New Roman" w:hAnsi="Times New Roman" w:cs="Times New Roman"/>
          <w:sz w:val="24"/>
          <w:szCs w:val="24"/>
        </w:rPr>
      </w:pPr>
    </w:p>
    <w:p w14:paraId="00431CDD" w14:textId="29B6F885" w:rsidR="0039547C" w:rsidRDefault="0039547C" w:rsidP="0015729C">
      <w:pPr>
        <w:spacing w:line="360" w:lineRule="auto"/>
        <w:rPr>
          <w:rFonts w:ascii="Times New Roman" w:hAnsi="Times New Roman" w:cs="Times New Roman"/>
          <w:sz w:val="24"/>
          <w:szCs w:val="24"/>
        </w:rPr>
      </w:pPr>
    </w:p>
    <w:p w14:paraId="6B68BC90" w14:textId="2C16DC05" w:rsidR="0039547C" w:rsidRDefault="0039547C" w:rsidP="0015729C">
      <w:pPr>
        <w:spacing w:line="360" w:lineRule="auto"/>
        <w:rPr>
          <w:rFonts w:ascii="Times New Roman" w:hAnsi="Times New Roman" w:cs="Times New Roman"/>
          <w:sz w:val="24"/>
          <w:szCs w:val="24"/>
        </w:rPr>
      </w:pPr>
    </w:p>
    <w:p w14:paraId="04038177" w14:textId="158A56F3" w:rsidR="0039547C" w:rsidRDefault="0039547C" w:rsidP="0015729C">
      <w:pPr>
        <w:spacing w:line="360" w:lineRule="auto"/>
        <w:rPr>
          <w:rFonts w:ascii="Times New Roman" w:hAnsi="Times New Roman" w:cs="Times New Roman"/>
          <w:sz w:val="24"/>
          <w:szCs w:val="24"/>
        </w:rPr>
      </w:pPr>
    </w:p>
    <w:p w14:paraId="77365BE6" w14:textId="7B708C86" w:rsidR="0039547C" w:rsidRDefault="0039547C" w:rsidP="0015729C">
      <w:pPr>
        <w:spacing w:line="360" w:lineRule="auto"/>
        <w:rPr>
          <w:rFonts w:ascii="Times New Roman" w:hAnsi="Times New Roman" w:cs="Times New Roman"/>
          <w:sz w:val="24"/>
          <w:szCs w:val="24"/>
        </w:rPr>
      </w:pPr>
    </w:p>
    <w:p w14:paraId="02DE7650" w14:textId="2B6D8B51" w:rsidR="0039547C" w:rsidRDefault="0039547C" w:rsidP="0015729C">
      <w:pPr>
        <w:spacing w:line="360" w:lineRule="auto"/>
        <w:rPr>
          <w:rFonts w:ascii="Times New Roman" w:hAnsi="Times New Roman" w:cs="Times New Roman"/>
          <w:sz w:val="24"/>
          <w:szCs w:val="24"/>
        </w:rPr>
      </w:pPr>
    </w:p>
    <w:p w14:paraId="24867B5F" w14:textId="3DE31D69" w:rsidR="0039547C" w:rsidRPr="0061022F" w:rsidRDefault="0039547C" w:rsidP="0015729C">
      <w:pPr>
        <w:spacing w:line="360" w:lineRule="auto"/>
        <w:rPr>
          <w:rFonts w:ascii="Times New Roman" w:hAnsi="Times New Roman" w:cs="Times New Roman"/>
          <w:b/>
          <w:bCs/>
          <w:sz w:val="24"/>
          <w:szCs w:val="24"/>
          <w:u w:val="single"/>
        </w:rPr>
      </w:pPr>
      <w:r w:rsidRPr="0061022F">
        <w:rPr>
          <w:rFonts w:ascii="Times New Roman" w:hAnsi="Times New Roman" w:cs="Times New Roman"/>
          <w:b/>
          <w:bCs/>
          <w:sz w:val="24"/>
          <w:szCs w:val="24"/>
          <w:u w:val="single"/>
        </w:rPr>
        <w:lastRenderedPageBreak/>
        <w:t xml:space="preserve">Reference: </w:t>
      </w:r>
    </w:p>
    <w:p w14:paraId="35AAD377" w14:textId="230F384A" w:rsidR="0039547C" w:rsidRPr="0039547C" w:rsidRDefault="0039547C" w:rsidP="0015729C">
      <w:pPr>
        <w:spacing w:line="360" w:lineRule="auto"/>
        <w:rPr>
          <w:rFonts w:ascii="Times New Roman" w:hAnsi="Times New Roman" w:cs="Times New Roman"/>
          <w:color w:val="212121"/>
          <w:sz w:val="24"/>
          <w:szCs w:val="24"/>
          <w:shd w:val="clear" w:color="auto" w:fill="FFFFFF"/>
        </w:rPr>
      </w:pPr>
      <w:proofErr w:type="spellStart"/>
      <w:r w:rsidRPr="0039547C">
        <w:rPr>
          <w:rFonts w:ascii="Times New Roman" w:hAnsi="Times New Roman" w:cs="Times New Roman"/>
          <w:color w:val="212121"/>
          <w:sz w:val="24"/>
          <w:szCs w:val="24"/>
          <w:shd w:val="clear" w:color="auto" w:fill="FFFFFF"/>
        </w:rPr>
        <w:t>Jadu</w:t>
      </w:r>
      <w:proofErr w:type="spellEnd"/>
      <w:r w:rsidRPr="0039547C">
        <w:rPr>
          <w:rFonts w:ascii="Times New Roman" w:hAnsi="Times New Roman" w:cs="Times New Roman"/>
          <w:color w:val="212121"/>
          <w:sz w:val="24"/>
          <w:szCs w:val="24"/>
          <w:shd w:val="clear" w:color="auto" w:fill="FFFFFF"/>
        </w:rPr>
        <w:t xml:space="preserve">, F. M., </w:t>
      </w:r>
      <w:proofErr w:type="spellStart"/>
      <w:r w:rsidRPr="0039547C">
        <w:rPr>
          <w:rFonts w:ascii="Times New Roman" w:hAnsi="Times New Roman" w:cs="Times New Roman"/>
          <w:color w:val="212121"/>
          <w:sz w:val="24"/>
          <w:szCs w:val="24"/>
          <w:shd w:val="clear" w:color="auto" w:fill="FFFFFF"/>
        </w:rPr>
        <w:t>Pharoah</w:t>
      </w:r>
      <w:proofErr w:type="spellEnd"/>
      <w:r w:rsidRPr="0039547C">
        <w:rPr>
          <w:rFonts w:ascii="Times New Roman" w:hAnsi="Times New Roman" w:cs="Times New Roman"/>
          <w:color w:val="212121"/>
          <w:sz w:val="24"/>
          <w:szCs w:val="24"/>
          <w:shd w:val="clear" w:color="auto" w:fill="FFFFFF"/>
        </w:rPr>
        <w:t xml:space="preserve">, M. J., Lee, L., Baker, G. I., &amp; </w:t>
      </w:r>
      <w:proofErr w:type="spellStart"/>
      <w:r w:rsidRPr="0039547C">
        <w:rPr>
          <w:rFonts w:ascii="Times New Roman" w:hAnsi="Times New Roman" w:cs="Times New Roman"/>
          <w:color w:val="212121"/>
          <w:sz w:val="24"/>
          <w:szCs w:val="24"/>
          <w:shd w:val="clear" w:color="auto" w:fill="FFFFFF"/>
        </w:rPr>
        <w:t>Allidina</w:t>
      </w:r>
      <w:proofErr w:type="spellEnd"/>
      <w:r w:rsidRPr="0039547C">
        <w:rPr>
          <w:rFonts w:ascii="Times New Roman" w:hAnsi="Times New Roman" w:cs="Times New Roman"/>
          <w:color w:val="212121"/>
          <w:sz w:val="24"/>
          <w:szCs w:val="24"/>
          <w:shd w:val="clear" w:color="auto" w:fill="FFFFFF"/>
        </w:rPr>
        <w:t>, A. (2011). Central giant cell granuloma of the mandibular condyle: a case report and review of the literature. </w:t>
      </w:r>
      <w:proofErr w:type="spellStart"/>
      <w:r w:rsidRPr="0039547C">
        <w:rPr>
          <w:rFonts w:ascii="Times New Roman" w:hAnsi="Times New Roman" w:cs="Times New Roman"/>
          <w:i/>
          <w:iCs/>
          <w:color w:val="212121"/>
          <w:sz w:val="24"/>
          <w:szCs w:val="24"/>
          <w:shd w:val="clear" w:color="auto" w:fill="FFFFFF"/>
        </w:rPr>
        <w:t>Dento</w:t>
      </w:r>
      <w:proofErr w:type="spellEnd"/>
      <w:r w:rsidRPr="0039547C">
        <w:rPr>
          <w:rFonts w:ascii="Times New Roman" w:hAnsi="Times New Roman" w:cs="Times New Roman"/>
          <w:i/>
          <w:iCs/>
          <w:color w:val="212121"/>
          <w:sz w:val="24"/>
          <w:szCs w:val="24"/>
          <w:shd w:val="clear" w:color="auto" w:fill="FFFFFF"/>
        </w:rPr>
        <w:t xml:space="preserve"> </w:t>
      </w:r>
      <w:proofErr w:type="spellStart"/>
      <w:r w:rsidRPr="0039547C">
        <w:rPr>
          <w:rFonts w:ascii="Times New Roman" w:hAnsi="Times New Roman" w:cs="Times New Roman"/>
          <w:i/>
          <w:iCs/>
          <w:color w:val="212121"/>
          <w:sz w:val="24"/>
          <w:szCs w:val="24"/>
          <w:shd w:val="clear" w:color="auto" w:fill="FFFFFF"/>
        </w:rPr>
        <w:t>maxillo</w:t>
      </w:r>
      <w:proofErr w:type="spellEnd"/>
      <w:r w:rsidRPr="0039547C">
        <w:rPr>
          <w:rFonts w:ascii="Times New Roman" w:hAnsi="Times New Roman" w:cs="Times New Roman"/>
          <w:i/>
          <w:iCs/>
          <w:color w:val="212121"/>
          <w:sz w:val="24"/>
          <w:szCs w:val="24"/>
          <w:shd w:val="clear" w:color="auto" w:fill="FFFFFF"/>
        </w:rPr>
        <w:t xml:space="preserve"> facial radiology</w:t>
      </w:r>
      <w:r w:rsidRPr="0039547C">
        <w:rPr>
          <w:rFonts w:ascii="Times New Roman" w:hAnsi="Times New Roman" w:cs="Times New Roman"/>
          <w:color w:val="212121"/>
          <w:sz w:val="24"/>
          <w:szCs w:val="24"/>
          <w:shd w:val="clear" w:color="auto" w:fill="FFFFFF"/>
        </w:rPr>
        <w:t>, </w:t>
      </w:r>
      <w:r w:rsidRPr="0039547C">
        <w:rPr>
          <w:rFonts w:ascii="Times New Roman" w:hAnsi="Times New Roman" w:cs="Times New Roman"/>
          <w:i/>
          <w:iCs/>
          <w:color w:val="212121"/>
          <w:sz w:val="24"/>
          <w:szCs w:val="24"/>
          <w:shd w:val="clear" w:color="auto" w:fill="FFFFFF"/>
        </w:rPr>
        <w:t>40</w:t>
      </w:r>
      <w:r w:rsidRPr="0039547C">
        <w:rPr>
          <w:rFonts w:ascii="Times New Roman" w:hAnsi="Times New Roman" w:cs="Times New Roman"/>
          <w:color w:val="212121"/>
          <w:sz w:val="24"/>
          <w:szCs w:val="24"/>
          <w:shd w:val="clear" w:color="auto" w:fill="FFFFFF"/>
        </w:rPr>
        <w:t xml:space="preserve">(1), 60–64. </w:t>
      </w:r>
      <w:hyperlink r:id="rId8" w:history="1">
        <w:r w:rsidRPr="0039547C">
          <w:rPr>
            <w:rStyle w:val="Hyperlink"/>
            <w:rFonts w:ascii="Times New Roman" w:hAnsi="Times New Roman" w:cs="Times New Roman"/>
            <w:sz w:val="24"/>
            <w:szCs w:val="24"/>
            <w:shd w:val="clear" w:color="auto" w:fill="FFFFFF"/>
          </w:rPr>
          <w:t>https://doi.org/10.1259/dmfr/85668294</w:t>
        </w:r>
      </w:hyperlink>
    </w:p>
    <w:p w14:paraId="18E0A18F" w14:textId="19EF20F0" w:rsidR="0039547C" w:rsidRPr="0039547C" w:rsidRDefault="0039547C" w:rsidP="0015729C">
      <w:pPr>
        <w:spacing w:line="360" w:lineRule="auto"/>
        <w:rPr>
          <w:rFonts w:ascii="Times New Roman" w:hAnsi="Times New Roman" w:cs="Times New Roman"/>
          <w:color w:val="212121"/>
          <w:sz w:val="24"/>
          <w:szCs w:val="24"/>
          <w:shd w:val="clear" w:color="auto" w:fill="FFFFFF"/>
        </w:rPr>
      </w:pPr>
    </w:p>
    <w:p w14:paraId="094BF0BC" w14:textId="65CDAF47" w:rsidR="00D71C80" w:rsidRDefault="0039547C" w:rsidP="0015729C">
      <w:pPr>
        <w:spacing w:line="360" w:lineRule="auto"/>
        <w:rPr>
          <w:rFonts w:ascii="Times New Roman" w:hAnsi="Times New Roman" w:cs="Times New Roman"/>
          <w:color w:val="303030"/>
          <w:sz w:val="24"/>
          <w:szCs w:val="24"/>
          <w:shd w:val="clear" w:color="auto" w:fill="FFFFFF"/>
        </w:rPr>
      </w:pPr>
      <w:r w:rsidRPr="0039547C">
        <w:rPr>
          <w:rFonts w:ascii="Times New Roman" w:hAnsi="Times New Roman" w:cs="Times New Roman"/>
          <w:color w:val="303030"/>
          <w:sz w:val="24"/>
          <w:szCs w:val="24"/>
          <w:shd w:val="clear" w:color="auto" w:fill="FFFFFF"/>
        </w:rPr>
        <w:t>Gulati, D., Bansal, V., Dubey, P., Pandey, S., &amp; Agrawal, A. (2015). Central giant cell granuloma of posterior maxilla: first expression of primary hyperparathyroidism. </w:t>
      </w:r>
      <w:r w:rsidRPr="0039547C">
        <w:rPr>
          <w:rFonts w:ascii="Times New Roman" w:hAnsi="Times New Roman" w:cs="Times New Roman"/>
          <w:i/>
          <w:iCs/>
          <w:color w:val="303030"/>
          <w:sz w:val="24"/>
          <w:szCs w:val="24"/>
          <w:shd w:val="clear" w:color="auto" w:fill="FFFFFF"/>
        </w:rPr>
        <w:t>Case reports in endocrinology</w:t>
      </w:r>
      <w:r w:rsidRPr="0039547C">
        <w:rPr>
          <w:rFonts w:ascii="Times New Roman" w:hAnsi="Times New Roman" w:cs="Times New Roman"/>
          <w:color w:val="303030"/>
          <w:sz w:val="24"/>
          <w:szCs w:val="24"/>
          <w:shd w:val="clear" w:color="auto" w:fill="FFFFFF"/>
        </w:rPr>
        <w:t>, </w:t>
      </w:r>
      <w:r w:rsidRPr="0039547C">
        <w:rPr>
          <w:rFonts w:ascii="Times New Roman" w:hAnsi="Times New Roman" w:cs="Times New Roman"/>
          <w:i/>
          <w:iCs/>
          <w:color w:val="303030"/>
          <w:sz w:val="24"/>
          <w:szCs w:val="24"/>
          <w:shd w:val="clear" w:color="auto" w:fill="FFFFFF"/>
        </w:rPr>
        <w:t>2015</w:t>
      </w:r>
      <w:r w:rsidRPr="0039547C">
        <w:rPr>
          <w:rFonts w:ascii="Times New Roman" w:hAnsi="Times New Roman" w:cs="Times New Roman"/>
          <w:color w:val="303030"/>
          <w:sz w:val="24"/>
          <w:szCs w:val="24"/>
          <w:shd w:val="clear" w:color="auto" w:fill="FFFFFF"/>
        </w:rPr>
        <w:t xml:space="preserve">, 170412. </w:t>
      </w:r>
      <w:hyperlink r:id="rId9" w:history="1">
        <w:r w:rsidR="00D71C80" w:rsidRPr="00A10717">
          <w:rPr>
            <w:rStyle w:val="Hyperlink"/>
            <w:rFonts w:ascii="Times New Roman" w:hAnsi="Times New Roman" w:cs="Times New Roman"/>
            <w:sz w:val="24"/>
            <w:szCs w:val="24"/>
            <w:shd w:val="clear" w:color="auto" w:fill="FFFFFF"/>
          </w:rPr>
          <w:t>https://doi.org/10.1155/2015/170412</w:t>
        </w:r>
      </w:hyperlink>
    </w:p>
    <w:p w14:paraId="1ECA113C" w14:textId="77777777" w:rsidR="00D71C80" w:rsidRPr="00D71C80" w:rsidRDefault="00D71C80" w:rsidP="0015729C">
      <w:pPr>
        <w:spacing w:line="360" w:lineRule="auto"/>
        <w:rPr>
          <w:rFonts w:ascii="Times New Roman" w:hAnsi="Times New Roman" w:cs="Times New Roman"/>
          <w:color w:val="303030"/>
          <w:sz w:val="24"/>
          <w:szCs w:val="24"/>
          <w:shd w:val="clear" w:color="auto" w:fill="FFFFFF"/>
        </w:rPr>
      </w:pPr>
    </w:p>
    <w:p w14:paraId="2DBE9A48" w14:textId="77777777" w:rsidR="00D71C80" w:rsidRDefault="00D71C80" w:rsidP="00D71C80">
      <w:pPr>
        <w:spacing w:before="100" w:beforeAutospacing="1" w:after="100" w:afterAutospacing="1" w:line="240" w:lineRule="auto"/>
        <w:ind w:left="567" w:hanging="567"/>
        <w:rPr>
          <w:rFonts w:ascii="Times New Roman" w:eastAsia="Times New Roman" w:hAnsi="Times New Roman" w:cs="Times New Roman"/>
          <w:sz w:val="24"/>
          <w:szCs w:val="24"/>
        </w:rPr>
      </w:pPr>
      <w:r w:rsidRPr="00D71C80">
        <w:rPr>
          <w:rFonts w:ascii="Times New Roman" w:eastAsia="Times New Roman" w:hAnsi="Times New Roman" w:cs="Times New Roman"/>
          <w:sz w:val="24"/>
          <w:szCs w:val="24"/>
        </w:rPr>
        <w:t>Recurrent Peripheral Giant Cell Granuloma: A Case Report. (n.d.). Retrieved November 30,</w:t>
      </w:r>
    </w:p>
    <w:p w14:paraId="4CB69FCD" w14:textId="6989D418" w:rsidR="00D71C80" w:rsidRDefault="00D71C80" w:rsidP="00D71C80">
      <w:pPr>
        <w:spacing w:before="100" w:beforeAutospacing="1" w:after="100" w:afterAutospacing="1" w:line="240" w:lineRule="auto"/>
        <w:ind w:left="567" w:hanging="567"/>
        <w:rPr>
          <w:rFonts w:ascii="Times New Roman" w:eastAsia="Times New Roman" w:hAnsi="Times New Roman" w:cs="Times New Roman"/>
          <w:sz w:val="24"/>
          <w:szCs w:val="24"/>
        </w:rPr>
      </w:pPr>
      <w:r w:rsidRPr="00D71C80">
        <w:rPr>
          <w:rFonts w:ascii="Times New Roman" w:eastAsia="Times New Roman" w:hAnsi="Times New Roman" w:cs="Times New Roman"/>
          <w:sz w:val="24"/>
          <w:szCs w:val="24"/>
        </w:rPr>
        <w:t xml:space="preserve">2020, from </w:t>
      </w:r>
      <w:hyperlink r:id="rId10" w:history="1">
        <w:r w:rsidRPr="00D71C80">
          <w:rPr>
            <w:rStyle w:val="Hyperlink"/>
            <w:rFonts w:ascii="Times New Roman" w:eastAsia="Times New Roman" w:hAnsi="Times New Roman" w:cs="Times New Roman"/>
            <w:sz w:val="24"/>
            <w:szCs w:val="24"/>
          </w:rPr>
          <w:t>https://opendentistryjournal.com/VOLUME/12/PAGE/1043/FULLTEXT/</w:t>
        </w:r>
      </w:hyperlink>
    </w:p>
    <w:p w14:paraId="35D48532" w14:textId="679A7B47" w:rsidR="00D71C80" w:rsidRPr="0061022F" w:rsidRDefault="00D71C80" w:rsidP="00D71C80">
      <w:pPr>
        <w:spacing w:before="100" w:beforeAutospacing="1" w:after="100" w:afterAutospacing="1" w:line="240" w:lineRule="auto"/>
        <w:ind w:left="567" w:hanging="567"/>
        <w:rPr>
          <w:rFonts w:ascii="Times New Roman" w:eastAsia="Times New Roman" w:hAnsi="Times New Roman" w:cs="Times New Roman"/>
          <w:b/>
          <w:bCs/>
          <w:sz w:val="24"/>
          <w:szCs w:val="24"/>
          <w:u w:val="single"/>
        </w:rPr>
      </w:pPr>
    </w:p>
    <w:p w14:paraId="79DC1278" w14:textId="77777777" w:rsidR="0061022F" w:rsidRPr="0061022F" w:rsidRDefault="00D71C80" w:rsidP="00D71C80">
      <w:pPr>
        <w:spacing w:before="100" w:beforeAutospacing="1" w:after="100" w:afterAutospacing="1" w:line="240" w:lineRule="auto"/>
        <w:ind w:left="567" w:hanging="567"/>
        <w:rPr>
          <w:rFonts w:ascii="Times New Roman" w:eastAsia="Times New Roman" w:hAnsi="Times New Roman" w:cs="Times New Roman"/>
          <w:b/>
          <w:bCs/>
          <w:sz w:val="24"/>
          <w:szCs w:val="24"/>
          <w:u w:val="single"/>
        </w:rPr>
      </w:pPr>
      <w:r w:rsidRPr="0061022F">
        <w:rPr>
          <w:rFonts w:ascii="Times New Roman" w:eastAsia="Times New Roman" w:hAnsi="Times New Roman" w:cs="Times New Roman"/>
          <w:b/>
          <w:bCs/>
          <w:sz w:val="24"/>
          <w:szCs w:val="24"/>
          <w:u w:val="single"/>
        </w:rPr>
        <w:t>Pic</w:t>
      </w:r>
      <w:r w:rsidR="0061022F" w:rsidRPr="0061022F">
        <w:rPr>
          <w:rFonts w:ascii="Times New Roman" w:eastAsia="Times New Roman" w:hAnsi="Times New Roman" w:cs="Times New Roman"/>
          <w:b/>
          <w:bCs/>
          <w:sz w:val="24"/>
          <w:szCs w:val="24"/>
          <w:u w:val="single"/>
        </w:rPr>
        <w:t>tures:</w:t>
      </w:r>
    </w:p>
    <w:p w14:paraId="2C78357A" w14:textId="2D8A319C" w:rsidR="00D71C80" w:rsidRDefault="0061022F" w:rsidP="00D71C80">
      <w:pPr>
        <w:spacing w:before="100" w:beforeAutospacing="1" w:after="100" w:afterAutospacing="1" w:line="240" w:lineRule="auto"/>
        <w:ind w:left="567" w:hanging="567"/>
        <w:rPr>
          <w:rFonts w:ascii="Times New Roman" w:eastAsia="Times New Roman" w:hAnsi="Times New Roman" w:cs="Times New Roman"/>
          <w:sz w:val="24"/>
          <w:szCs w:val="24"/>
        </w:rPr>
      </w:pPr>
      <w:hyperlink r:id="rId11" w:history="1">
        <w:r w:rsidRPr="00A10717">
          <w:rPr>
            <w:rStyle w:val="Hyperlink"/>
            <w:rFonts w:ascii="Times New Roman" w:eastAsia="Times New Roman" w:hAnsi="Times New Roman" w:cs="Times New Roman"/>
            <w:sz w:val="24"/>
            <w:szCs w:val="24"/>
          </w:rPr>
          <w:t>https://opendentistryjournal.com/VOLUME/12/PAGE/1043/FULLTEXT/</w:t>
        </w:r>
      </w:hyperlink>
    </w:p>
    <w:p w14:paraId="299DE678" w14:textId="3FDDAE9D" w:rsidR="0061022F" w:rsidRDefault="0061022F" w:rsidP="00D71C80">
      <w:pPr>
        <w:spacing w:before="100" w:beforeAutospacing="1" w:after="100" w:afterAutospacing="1" w:line="240" w:lineRule="auto"/>
        <w:ind w:left="567" w:hanging="567"/>
        <w:rPr>
          <w:rFonts w:ascii="Times New Roman" w:eastAsia="Times New Roman" w:hAnsi="Times New Roman" w:cs="Times New Roman"/>
          <w:sz w:val="24"/>
          <w:szCs w:val="24"/>
        </w:rPr>
      </w:pPr>
      <w:hyperlink r:id="rId12" w:history="1">
        <w:r w:rsidRPr="00A10717">
          <w:rPr>
            <w:rStyle w:val="Hyperlink"/>
            <w:rFonts w:ascii="Times New Roman" w:eastAsia="Times New Roman" w:hAnsi="Times New Roman" w:cs="Times New Roman"/>
            <w:sz w:val="24"/>
            <w:szCs w:val="24"/>
          </w:rPr>
          <w:t>http://www.ijcasereportsandimages.com/archive/2012/008-2012-ijcri/014-08-2012-aswath/ijcri-016082013116-aswath-full-text.php</w:t>
        </w:r>
      </w:hyperlink>
    </w:p>
    <w:p w14:paraId="180DDB8B" w14:textId="3419777E" w:rsidR="0061022F" w:rsidRDefault="0061022F" w:rsidP="00D71C80">
      <w:pPr>
        <w:spacing w:before="100" w:beforeAutospacing="1" w:after="100" w:afterAutospacing="1" w:line="240" w:lineRule="auto"/>
        <w:ind w:left="567" w:hanging="567"/>
        <w:rPr>
          <w:rFonts w:ascii="Times New Roman" w:eastAsia="Times New Roman" w:hAnsi="Times New Roman" w:cs="Times New Roman"/>
          <w:sz w:val="24"/>
          <w:szCs w:val="24"/>
        </w:rPr>
      </w:pPr>
      <w:hyperlink r:id="rId13" w:history="1">
        <w:r w:rsidRPr="00A10717">
          <w:rPr>
            <w:rStyle w:val="Hyperlink"/>
            <w:rFonts w:ascii="Times New Roman" w:eastAsia="Times New Roman" w:hAnsi="Times New Roman" w:cs="Times New Roman"/>
            <w:sz w:val="24"/>
            <w:szCs w:val="24"/>
          </w:rPr>
          <w:t>http://jultika.oulu.fi/files/nbnfi-fe201901021135.pdf</w:t>
        </w:r>
      </w:hyperlink>
    </w:p>
    <w:p w14:paraId="037FE069" w14:textId="77777777" w:rsidR="0061022F" w:rsidRDefault="0061022F" w:rsidP="00D71C80">
      <w:pPr>
        <w:spacing w:before="100" w:beforeAutospacing="1" w:after="100" w:afterAutospacing="1" w:line="240" w:lineRule="auto"/>
        <w:ind w:left="567" w:hanging="567"/>
        <w:rPr>
          <w:rFonts w:ascii="Times New Roman" w:eastAsia="Times New Roman" w:hAnsi="Times New Roman" w:cs="Times New Roman"/>
          <w:sz w:val="24"/>
          <w:szCs w:val="24"/>
        </w:rPr>
      </w:pPr>
    </w:p>
    <w:p w14:paraId="46FFB773" w14:textId="77777777" w:rsidR="00D71C80" w:rsidRPr="00D71C80" w:rsidRDefault="00D71C80" w:rsidP="00D71C80">
      <w:pPr>
        <w:spacing w:before="100" w:beforeAutospacing="1" w:after="100" w:afterAutospacing="1" w:line="240" w:lineRule="auto"/>
        <w:ind w:left="567" w:hanging="567"/>
        <w:rPr>
          <w:rFonts w:ascii="Times New Roman" w:eastAsia="Times New Roman" w:hAnsi="Times New Roman" w:cs="Times New Roman"/>
          <w:sz w:val="24"/>
          <w:szCs w:val="24"/>
        </w:rPr>
      </w:pPr>
    </w:p>
    <w:tbl>
      <w:tblPr>
        <w:tblW w:w="1350" w:type="dxa"/>
        <w:tblInd w:w="450" w:type="dxa"/>
        <w:shd w:val="clear" w:color="auto" w:fill="FFFFFF"/>
        <w:tblCellMar>
          <w:top w:w="15" w:type="dxa"/>
          <w:left w:w="15" w:type="dxa"/>
          <w:bottom w:w="15" w:type="dxa"/>
          <w:right w:w="15" w:type="dxa"/>
        </w:tblCellMar>
        <w:tblLook w:val="04A0" w:firstRow="1" w:lastRow="0" w:firstColumn="1" w:lastColumn="0" w:noHBand="0" w:noVBand="1"/>
      </w:tblPr>
      <w:tblGrid>
        <w:gridCol w:w="1350"/>
      </w:tblGrid>
      <w:tr w:rsidR="00D71C80" w:rsidRPr="00D71C80" w14:paraId="71991B3F" w14:textId="77777777" w:rsidTr="00D71C80">
        <w:tc>
          <w:tcPr>
            <w:tcW w:w="1350" w:type="dxa"/>
            <w:shd w:val="clear" w:color="auto" w:fill="FFFFFF"/>
            <w:vAlign w:val="center"/>
            <w:hideMark/>
          </w:tcPr>
          <w:p w14:paraId="0228C84E" w14:textId="1EE2594F" w:rsidR="00D71C80" w:rsidRPr="00D71C80" w:rsidRDefault="00D71C80" w:rsidP="00D71C80">
            <w:pPr>
              <w:spacing w:after="0" w:line="240" w:lineRule="auto"/>
              <w:rPr>
                <w:rFonts w:ascii="Arial" w:eastAsia="Times New Roman" w:hAnsi="Arial" w:cs="Arial"/>
                <w:color w:val="000000"/>
                <w:sz w:val="21"/>
                <w:szCs w:val="21"/>
              </w:rPr>
            </w:pPr>
          </w:p>
        </w:tc>
      </w:tr>
    </w:tbl>
    <w:p w14:paraId="22D25BBF" w14:textId="77777777" w:rsidR="00D71C80" w:rsidRPr="0039547C" w:rsidRDefault="00D71C80" w:rsidP="0015729C">
      <w:pPr>
        <w:spacing w:line="360" w:lineRule="auto"/>
        <w:rPr>
          <w:rFonts w:ascii="Times New Roman" w:hAnsi="Times New Roman" w:cs="Times New Roman"/>
          <w:sz w:val="24"/>
          <w:szCs w:val="24"/>
        </w:rPr>
      </w:pPr>
    </w:p>
    <w:sectPr w:rsidR="00D71C80" w:rsidRPr="003954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7E67D0"/>
    <w:multiLevelType w:val="hybridMultilevel"/>
    <w:tmpl w:val="DAC08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A61"/>
    <w:rsid w:val="00030016"/>
    <w:rsid w:val="0005725C"/>
    <w:rsid w:val="00095A08"/>
    <w:rsid w:val="00130FB4"/>
    <w:rsid w:val="001507B6"/>
    <w:rsid w:val="0015729C"/>
    <w:rsid w:val="00193A38"/>
    <w:rsid w:val="0039547C"/>
    <w:rsid w:val="004337A7"/>
    <w:rsid w:val="004368BB"/>
    <w:rsid w:val="0061022F"/>
    <w:rsid w:val="00624A61"/>
    <w:rsid w:val="00656492"/>
    <w:rsid w:val="009D5C21"/>
    <w:rsid w:val="00C76580"/>
    <w:rsid w:val="00D20EA7"/>
    <w:rsid w:val="00D52391"/>
    <w:rsid w:val="00D66C9D"/>
    <w:rsid w:val="00D71C80"/>
    <w:rsid w:val="00E20B5F"/>
    <w:rsid w:val="00F7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618CA"/>
  <w15:chartTrackingRefBased/>
  <w15:docId w15:val="{C8A030FA-F99F-4663-807A-06AF2892E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A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20EA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368BB"/>
    <w:rPr>
      <w:sz w:val="16"/>
      <w:szCs w:val="16"/>
    </w:rPr>
  </w:style>
  <w:style w:type="paragraph" w:styleId="CommentText">
    <w:name w:val="annotation text"/>
    <w:basedOn w:val="Normal"/>
    <w:link w:val="CommentTextChar"/>
    <w:uiPriority w:val="99"/>
    <w:semiHidden/>
    <w:unhideWhenUsed/>
    <w:rsid w:val="004368BB"/>
    <w:pPr>
      <w:spacing w:line="240" w:lineRule="auto"/>
    </w:pPr>
    <w:rPr>
      <w:sz w:val="20"/>
      <w:szCs w:val="20"/>
    </w:rPr>
  </w:style>
  <w:style w:type="character" w:customStyle="1" w:styleId="CommentTextChar">
    <w:name w:val="Comment Text Char"/>
    <w:basedOn w:val="DefaultParagraphFont"/>
    <w:link w:val="CommentText"/>
    <w:uiPriority w:val="99"/>
    <w:semiHidden/>
    <w:rsid w:val="004368BB"/>
    <w:rPr>
      <w:sz w:val="20"/>
      <w:szCs w:val="20"/>
    </w:rPr>
  </w:style>
  <w:style w:type="paragraph" w:styleId="CommentSubject">
    <w:name w:val="annotation subject"/>
    <w:basedOn w:val="CommentText"/>
    <w:next w:val="CommentText"/>
    <w:link w:val="CommentSubjectChar"/>
    <w:uiPriority w:val="99"/>
    <w:semiHidden/>
    <w:unhideWhenUsed/>
    <w:rsid w:val="004368BB"/>
    <w:rPr>
      <w:b/>
      <w:bCs/>
    </w:rPr>
  </w:style>
  <w:style w:type="character" w:customStyle="1" w:styleId="CommentSubjectChar">
    <w:name w:val="Comment Subject Char"/>
    <w:basedOn w:val="CommentTextChar"/>
    <w:link w:val="CommentSubject"/>
    <w:uiPriority w:val="99"/>
    <w:semiHidden/>
    <w:rsid w:val="004368BB"/>
    <w:rPr>
      <w:b/>
      <w:bCs/>
      <w:sz w:val="20"/>
      <w:szCs w:val="20"/>
    </w:rPr>
  </w:style>
  <w:style w:type="paragraph" w:styleId="BalloonText">
    <w:name w:val="Balloon Text"/>
    <w:basedOn w:val="Normal"/>
    <w:link w:val="BalloonTextChar"/>
    <w:uiPriority w:val="99"/>
    <w:semiHidden/>
    <w:unhideWhenUsed/>
    <w:rsid w:val="0043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8BB"/>
    <w:rPr>
      <w:rFonts w:ascii="Segoe UI" w:hAnsi="Segoe UI" w:cs="Segoe UI"/>
      <w:sz w:val="18"/>
      <w:szCs w:val="18"/>
    </w:rPr>
  </w:style>
  <w:style w:type="character" w:styleId="Hyperlink">
    <w:name w:val="Hyperlink"/>
    <w:basedOn w:val="DefaultParagraphFont"/>
    <w:uiPriority w:val="99"/>
    <w:unhideWhenUsed/>
    <w:rsid w:val="0039547C"/>
    <w:rPr>
      <w:color w:val="0563C1" w:themeColor="hyperlink"/>
      <w:u w:val="single"/>
    </w:rPr>
  </w:style>
  <w:style w:type="character" w:styleId="UnresolvedMention">
    <w:name w:val="Unresolved Mention"/>
    <w:basedOn w:val="DefaultParagraphFont"/>
    <w:uiPriority w:val="99"/>
    <w:semiHidden/>
    <w:unhideWhenUsed/>
    <w:rsid w:val="00395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915921">
      <w:bodyDiv w:val="1"/>
      <w:marLeft w:val="0"/>
      <w:marRight w:val="0"/>
      <w:marTop w:val="0"/>
      <w:marBottom w:val="0"/>
      <w:divBdr>
        <w:top w:val="none" w:sz="0" w:space="0" w:color="auto"/>
        <w:left w:val="none" w:sz="0" w:space="0" w:color="auto"/>
        <w:bottom w:val="none" w:sz="0" w:space="0" w:color="auto"/>
        <w:right w:val="none" w:sz="0" w:space="0" w:color="auto"/>
      </w:divBdr>
    </w:div>
    <w:div w:id="25278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59/dmfr/85668294" TargetMode="External"/><Relationship Id="rId13" Type="http://schemas.openxmlformats.org/officeDocument/2006/relationships/hyperlink" Target="http://jultika.oulu.fi/files/nbnfi-fe201901021135.pdf"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jcasereportsandimages.com/archive/2012/008-2012-ijcri/014-08-2012-aswath/ijcri-016082013116-aswath-full-tex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opendentistryjournal.com/VOLUME/12/PAGE/1043/FULLTEXT/"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opendentistryjournal.com/VOLUME/12/PAGE/1043/FULLTEXT/" TargetMode="External"/><Relationship Id="rId4" Type="http://schemas.openxmlformats.org/officeDocument/2006/relationships/webSettings" Target="webSettings.xml"/><Relationship Id="rId9" Type="http://schemas.openxmlformats.org/officeDocument/2006/relationships/hyperlink" Target="https://doi.org/10.1155/2015/17041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 .</dc:creator>
  <cp:keywords/>
  <dc:description/>
  <cp:lastModifiedBy>GIG .</cp:lastModifiedBy>
  <cp:revision>9</cp:revision>
  <dcterms:created xsi:type="dcterms:W3CDTF">2020-11-19T15:20:00Z</dcterms:created>
  <dcterms:modified xsi:type="dcterms:W3CDTF">2020-11-30T16:43:00Z</dcterms:modified>
</cp:coreProperties>
</file>