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Tiferet Lampert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137-42 70th ave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Queens NY 11367</w:t>
      </w:r>
    </w:p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tiferet.lampert@mail.citytech.cuny.edu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 York City College of Technology, Associate in Applied Science, Dental Hygiene             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Eligible to sit for board examination                                                                                   June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Professional Activities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Clinical rotations                                                                                         February 2015-May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Headstart oral hygiene presentation                                                                                  April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Fluoride varnish program through headstart                                                              April-May 2016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CPR for the Healthcare Provider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Citi Institutional Board Review (IRB)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Memberships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American Dental Hygienists Association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The National Society of Collegiate Scholars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Work 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Quality control manager  TenenGroup Industries LTD                                                      2010-2012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Skills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Proficient in: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Dentimax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Microsoft Excel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Microsoft Word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tiferet.lampert@mail.citytech.cuny.edu" TargetMode="External"/></Relationships>
</file>