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Safayet Toaha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11/8/15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 1101        </w:t>
        <w:br w:type="textWrapping"/>
      </w:r>
      <w:r w:rsidDel="00000000" w:rsidR="00000000" w:rsidRPr="00000000">
        <w:rPr>
          <w:rFonts w:ascii="Times New Roman" w:cs="Times New Roman" w:eastAsia="Times New Roman" w:hAnsi="Times New Roman"/>
          <w:b w:val="1"/>
          <w:sz w:val="24"/>
          <w:szCs w:val="24"/>
          <w:u w:val="single"/>
          <w:rtl w:val="0"/>
        </w:rPr>
        <w:t xml:space="preserve">From Doo Wop to Hip Hop: The Bittersweet odyssey of African American in the South Bronx</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From Doo Wop to Hip Hop talks about how community affected music.  The essay talks about how South Bronx was dealing with gang violence and drugs.  The issue was becoming a big deal with government houses in the bronx.  However hip hop in the South Bronx was made because of these issues.  Artist had the power of talking about the problem and showing what was a big deal during the late 70s.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Five Minds For the Future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Five Minds for the Future talks about development of a person mentally.  Talks about how you’re suppose to be while growing up.  The author talks about five development that happens in someone's life. In life individuals needs this grown development.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