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6" w:rsidRDefault="00376FD3" w:rsidP="00376FD3">
      <w:pPr>
        <w:pStyle w:val="ListParagraph"/>
        <w:numPr>
          <w:ilvl w:val="0"/>
          <w:numId w:val="1"/>
        </w:numPr>
      </w:pPr>
      <w:r>
        <w:t>The first Corona launch was on February 28, 1959.</w:t>
      </w:r>
    </w:p>
    <w:p w:rsidR="00376FD3" w:rsidRDefault="00376FD3" w:rsidP="00376FD3">
      <w:pPr>
        <w:pStyle w:val="ListParagraph"/>
        <w:numPr>
          <w:ilvl w:val="0"/>
          <w:numId w:val="1"/>
        </w:numPr>
      </w:pPr>
      <w:r>
        <w:t>The first successful launch and recovery of a Corona capsule was on August 10, 1960. It was mission number 13.</w:t>
      </w:r>
    </w:p>
    <w:p w:rsidR="00376FD3" w:rsidRDefault="00926B31" w:rsidP="00376FD3">
      <w:pPr>
        <w:pStyle w:val="ListParagraph"/>
        <w:numPr>
          <w:ilvl w:val="0"/>
          <w:numId w:val="1"/>
        </w:numPr>
      </w:pPr>
      <w:r>
        <w:t xml:space="preserve">It took 14 launches before a film was successfully returned on August 18, 1960. </w:t>
      </w:r>
    </w:p>
    <w:p w:rsidR="006402AA" w:rsidRDefault="00926B31" w:rsidP="00376FD3">
      <w:pPr>
        <w:pStyle w:val="ListParagraph"/>
        <w:numPr>
          <w:ilvl w:val="0"/>
          <w:numId w:val="1"/>
        </w:numPr>
      </w:pPr>
      <w:r>
        <w:t xml:space="preserve">This launch relates to the U-2 incident with Gary Powers because even though President Eisenhower had to terminate reconnaissance over the Soviet Union </w:t>
      </w:r>
      <w:r w:rsidR="006402AA">
        <w:t>the Corona satellite was an alternate method of spying for the U.S. This incident accelerated the development of the Corona project.</w:t>
      </w:r>
    </w:p>
    <w:p w:rsidR="006402AA" w:rsidRDefault="006402AA" w:rsidP="00376FD3">
      <w:pPr>
        <w:pStyle w:val="ListParagraph"/>
        <w:numPr>
          <w:ilvl w:val="0"/>
          <w:numId w:val="1"/>
        </w:numPr>
      </w:pPr>
      <w:r>
        <w:t xml:space="preserve">The KH-4 series cameras had a </w:t>
      </w:r>
      <w:r w:rsidR="000C1FAA">
        <w:t xml:space="preserve">film </w:t>
      </w:r>
      <w:r>
        <w:t>resolution of 160 lines/mm</w:t>
      </w:r>
      <w:r w:rsidR="000C1FAA">
        <w:t xml:space="preserve"> and a ground resolution of 6ft</w:t>
      </w:r>
      <w:r>
        <w:t>.</w:t>
      </w:r>
    </w:p>
    <w:p w:rsidR="00926B31" w:rsidRDefault="006402AA" w:rsidP="00376FD3">
      <w:pPr>
        <w:pStyle w:val="ListParagraph"/>
        <w:numPr>
          <w:ilvl w:val="0"/>
          <w:numId w:val="1"/>
        </w:numPr>
      </w:pPr>
      <w:r>
        <w:t xml:space="preserve">The swath width associated with the best-resolution KH-4 images was  </w:t>
      </w:r>
      <w:r w:rsidR="00926B31">
        <w:t xml:space="preserve"> </w:t>
      </w:r>
    </w:p>
    <w:p w:rsidR="000C1FAA" w:rsidRDefault="000C1FAA" w:rsidP="00376FD3">
      <w:pPr>
        <w:pStyle w:val="ListParagraph"/>
        <w:numPr>
          <w:ilvl w:val="0"/>
          <w:numId w:val="1"/>
        </w:numPr>
      </w:pPr>
      <w:r>
        <w:t>There were 145 Corona Missions.</w:t>
      </w:r>
    </w:p>
    <w:p w:rsidR="00613F44" w:rsidRPr="00613F44" w:rsidRDefault="00EA5937" w:rsidP="00376FD3">
      <w:pPr>
        <w:pStyle w:val="ListParagraph"/>
        <w:numPr>
          <w:ilvl w:val="0"/>
          <w:numId w:val="1"/>
        </w:numPr>
      </w:pPr>
      <w:r>
        <w:t xml:space="preserve">Rayleigh criteria: </w:t>
      </w:r>
      <m:oMath>
        <m:r>
          <w:rPr>
            <w:rFonts w:ascii="Cambria Math" w:hAnsi="Cambria Math"/>
          </w:rPr>
          <m:t>GSD=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1.22*λ</m:t>
            </m:r>
          </m:num>
          <m:den>
            <m:r>
              <w:rPr>
                <w:rFonts w:ascii="Cambria Math" w:hAnsi="Cambria Math"/>
              </w:rPr>
              <m:t>diameter</m:t>
            </m:r>
          </m:den>
        </m:f>
        <m:r>
          <w:rPr>
            <w:rFonts w:ascii="Cambria Math" w:eastAsiaTheme="minorEastAsia" w:hAnsi="Cambria Math"/>
          </w:rPr>
          <m:t>*range</m:t>
        </m:r>
      </m:oMath>
      <w:r w:rsidR="0009482A">
        <w:rPr>
          <w:rFonts w:eastAsiaTheme="minorEastAsia"/>
        </w:rPr>
        <w:tab/>
      </w:r>
    </w:p>
    <w:p w:rsidR="000C1FAA" w:rsidRPr="0009482A" w:rsidRDefault="0009482A" w:rsidP="00613F44">
      <w:pPr>
        <w:pStyle w:val="ListParagraph"/>
      </w:pPr>
      <m:oMathPara>
        <m:oMath>
          <m:r>
            <w:rPr>
              <w:rFonts w:ascii="Cambria Math" w:eastAsiaTheme="minorEastAsia" w:hAnsi="Cambria Math"/>
            </w:rPr>
            <m:t>λ=500*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-9</m:t>
              </m:r>
            </m:sup>
          </m:sSup>
          <m:r>
            <w:rPr>
              <w:rFonts w:ascii="Cambria Math" w:eastAsiaTheme="minorEastAsia" w:hAnsi="Cambria Math"/>
            </w:rPr>
            <m:t>, range=115*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,f/#=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focal length</m:t>
              </m:r>
            </m:num>
            <m:den>
              <m:r>
                <w:rPr>
                  <w:rFonts w:ascii="Cambria Math" w:eastAsiaTheme="minorEastAsia" w:hAnsi="Cambria Math"/>
                </w:rPr>
                <m:t>diameter</m:t>
              </m:r>
            </m:den>
          </m:f>
          <m:r>
            <w:rPr>
              <w:rFonts w:ascii="Cambria Math" w:eastAsiaTheme="minorEastAsia" w:hAnsi="Cambria Math"/>
            </w:rPr>
            <m:t>,f/#=f/3.5, focal length=24" =0.61m</m:t>
          </m:r>
        </m:oMath>
      </m:oMathPara>
    </w:p>
    <w:p w:rsidR="00144A7C" w:rsidRPr="00144A7C" w:rsidRDefault="0009482A" w:rsidP="00144A7C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GSD=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1.22 x 500*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-9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0.61</m:t>
                  </m:r>
                </m:num>
                <m:den>
                  <m:r>
                    <w:rPr>
                      <w:rFonts w:ascii="Cambria Math" w:hAnsi="Cambria Math"/>
                    </w:rPr>
                    <m:t>3.5</m:t>
                  </m:r>
                </m:den>
              </m:f>
            </m:den>
          </m:f>
          <m:r>
            <w:rPr>
              <w:rFonts w:ascii="Cambria Math" w:hAnsi="Cambria Math"/>
            </w:rPr>
            <m:t>*115*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=40.9*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m=40.9c</m:t>
          </m:r>
          <m:r>
            <w:rPr>
              <w:rFonts w:ascii="Cambria Math" w:eastAsiaTheme="minorEastAsia" w:hAnsi="Cambria Math"/>
            </w:rPr>
            <m:t>m</m:t>
          </m:r>
        </m:oMath>
      </m:oMathPara>
    </w:p>
    <w:p w:rsidR="00144A7C" w:rsidRDefault="00144A7C" w:rsidP="00144A7C">
      <w:pPr>
        <w:pStyle w:val="ListParagraph"/>
        <w:numPr>
          <w:ilvl w:val="0"/>
          <w:numId w:val="1"/>
        </w:numPr>
        <w:rPr>
          <w:rFonts w:eastAsiaTheme="minorEastAsia"/>
        </w:rPr>
      </w:pPr>
    </w:p>
    <w:p w:rsidR="00144A7C" w:rsidRDefault="00144A7C" w:rsidP="00144A7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three factors that constrain the resolution obtainable with an imaging system are atmospheric absorption, scattering, and turbulence. </w:t>
      </w:r>
    </w:p>
    <w:p w:rsidR="00624530" w:rsidRDefault="00ED62F3" w:rsidP="00144A7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Hubble </w:t>
      </w:r>
      <w:r w:rsidR="00624530">
        <w:rPr>
          <w:rFonts w:eastAsiaTheme="minorEastAsia"/>
        </w:rPr>
        <w:t>primary optic has a focal length of 57.4m, a diameter of 2.4m, and a f/# of 24</w:t>
      </w:r>
    </w:p>
    <w:p w:rsidR="005B564A" w:rsidRDefault="005B564A" w:rsidP="00144A7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H</w:t>
      </w:r>
    </w:p>
    <w:p w:rsidR="005B564A" w:rsidRDefault="005B564A" w:rsidP="00144A7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The energy band gap for lead sulfide is 0.35-0.40(eV) at 300 K. The cutoff wavelength, λ, for lead sulfide is:</w:t>
      </w:r>
    </w:p>
    <w:p w:rsidR="005B564A" w:rsidRDefault="005B564A" w:rsidP="005B564A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λ=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h*c</m:t>
              </m:r>
            </m:num>
            <m:den>
              <m:r>
                <w:rPr>
                  <w:rFonts w:ascii="Cambria Math" w:eastAsiaTheme="minorEastAsia" w:hAnsi="Cambria Math"/>
                </w:rPr>
                <m:t>∆E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1.24*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-6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(eV m)</m:t>
              </m:r>
            </m:num>
            <m:den>
              <m:r>
                <w:rPr>
                  <w:rFonts w:ascii="Cambria Math" w:eastAsiaTheme="minorEastAsia" w:hAnsi="Cambria Math"/>
                </w:rPr>
                <m:t>0.40</m:t>
              </m:r>
            </m:den>
          </m:f>
          <m:r>
            <w:rPr>
              <w:rFonts w:ascii="Cambria Math" w:eastAsiaTheme="minorEastAsia" w:hAnsi="Cambria Math"/>
            </w:rPr>
            <m:t>=3.1*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-6</m:t>
              </m:r>
            </m:sup>
          </m:sSup>
          <m:r>
            <w:rPr>
              <w:rFonts w:ascii="Cambria Math" w:eastAsiaTheme="minorEastAsia" w:hAnsi="Cambria Math"/>
            </w:rPr>
            <m:t>m or 3.1μm</m:t>
          </m:r>
        </m:oMath>
      </m:oMathPara>
    </w:p>
    <w:p w:rsidR="00144A7C" w:rsidRDefault="001D04F1" w:rsidP="001D04F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f/#=f/5.0</m:t>
        </m:r>
      </m:oMath>
      <w:r>
        <w:rPr>
          <w:rFonts w:eastAsiaTheme="minorEastAsia"/>
        </w:rPr>
        <w:t>, focal length = 24”=0.61m</w:t>
      </w:r>
    </w:p>
    <w:p w:rsidR="001D04F1" w:rsidRPr="001D04F1" w:rsidRDefault="001D04F1" w:rsidP="001D04F1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Diameter=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focal length </m:t>
              </m:r>
            </m:num>
            <m:den>
              <m:r>
                <w:rPr>
                  <w:rFonts w:ascii="Cambria Math" w:eastAsiaTheme="minorEastAsia" w:hAnsi="Cambria Math"/>
                </w:rPr>
                <m:t>f/#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0.61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=12.2*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m=12.2cm</m:t>
          </m:r>
        </m:oMath>
      </m:oMathPara>
    </w:p>
    <w:p w:rsidR="001D04F1" w:rsidRDefault="001D04F1" w:rsidP="001D04F1">
      <w:pPr>
        <w:pStyle w:val="ListParagraph"/>
        <w:numPr>
          <w:ilvl w:val="0"/>
          <w:numId w:val="1"/>
        </w:numPr>
        <w:rPr>
          <w:rFonts w:eastAsiaTheme="minorEastAsia"/>
        </w:rPr>
      </w:pPr>
      <w:bookmarkStart w:id="0" w:name="_GoBack"/>
      <w:bookmarkEnd w:id="0"/>
    </w:p>
    <w:p w:rsidR="00C7665D" w:rsidRDefault="00C7665D" w:rsidP="001D04F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f/#=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0.57*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den>
        </m:f>
        <m:r>
          <w:rPr>
            <w:rFonts w:ascii="Cambria Math" w:eastAsiaTheme="minorEastAsia" w:hAnsi="Cambria Math"/>
          </w:rPr>
          <m:t>=87.7</m:t>
        </m:r>
      </m:oMath>
    </w:p>
    <w:p w:rsidR="00C7665D" w:rsidRDefault="00C7665D" w:rsidP="001D04F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GSD=∆x=1.22*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λ*R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,          0.66=1.22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-7</m:t>
                </m:r>
              </m:sup>
            </m:sSup>
            <m:r>
              <w:rPr>
                <w:rFonts w:ascii="Cambria Math" w:eastAsiaTheme="minorEastAsia" w:hAnsi="Cambria Math"/>
              </w:rPr>
              <m:t>*384,400*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 xml:space="preserve">           a=355.28m</m:t>
        </m:r>
      </m:oMath>
    </w:p>
    <w:p w:rsidR="001D04F1" w:rsidRPr="00144A7C" w:rsidRDefault="001D04F1" w:rsidP="001D04F1">
      <w:pPr>
        <w:pStyle w:val="ListParagraph"/>
        <w:rPr>
          <w:rFonts w:eastAsiaTheme="minorEastAsia"/>
        </w:rPr>
      </w:pPr>
    </w:p>
    <w:sectPr w:rsidR="001D04F1" w:rsidRPr="0014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10D9A"/>
    <w:multiLevelType w:val="hybridMultilevel"/>
    <w:tmpl w:val="5010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D3"/>
    <w:rsid w:val="0001056E"/>
    <w:rsid w:val="00060AB5"/>
    <w:rsid w:val="0009482A"/>
    <w:rsid w:val="000C1FAA"/>
    <w:rsid w:val="00144A7C"/>
    <w:rsid w:val="001D04F1"/>
    <w:rsid w:val="00376FD3"/>
    <w:rsid w:val="005B564A"/>
    <w:rsid w:val="005D68A6"/>
    <w:rsid w:val="00613F44"/>
    <w:rsid w:val="00624530"/>
    <w:rsid w:val="006402AA"/>
    <w:rsid w:val="00926B31"/>
    <w:rsid w:val="00C7665D"/>
    <w:rsid w:val="00CC01FF"/>
    <w:rsid w:val="00EA5937"/>
    <w:rsid w:val="00E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914EF-21B1-4AB2-8CBC-E9519387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F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5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ReCkleSs</dc:creator>
  <cp:keywords/>
  <dc:description/>
  <cp:lastModifiedBy>ReCkleSs</cp:lastModifiedBy>
  <cp:revision>3</cp:revision>
  <dcterms:created xsi:type="dcterms:W3CDTF">2016-02-28T22:07:00Z</dcterms:created>
  <dcterms:modified xsi:type="dcterms:W3CDTF">2016-03-05T18:04:00Z</dcterms:modified>
</cp:coreProperties>
</file>