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1D483" w14:textId="77777777" w:rsidR="00D037F5" w:rsidRPr="00D037F5" w:rsidRDefault="00D037F5" w:rsidP="00D037F5">
      <w:pPr>
        <w:spacing w:before="100" w:beforeAutospacing="1" w:after="100" w:afterAutospacing="1"/>
        <w:outlineLvl w:val="1"/>
        <w:rPr>
          <w:rFonts w:ascii="Century Gothic" w:eastAsia="Times New Roman" w:hAnsi="Century Gothic" w:cs="Times New Roman"/>
          <w:b/>
          <w:bCs/>
        </w:rPr>
      </w:pPr>
      <w:r>
        <w:rPr>
          <w:rFonts w:ascii="Century Gothic" w:hAnsi="Century Gothic" w:cs="Times New Roman"/>
        </w:rPr>
        <w:t>[Ellen Lupton</w:t>
      </w:r>
      <w:r w:rsidR="00CD02F8">
        <w:rPr>
          <w:rFonts w:ascii="Century Gothic" w:hAnsi="Century Gothic" w:cs="Times New Roman"/>
        </w:rPr>
        <w:t xml:space="preserve"> and Julia Lupton</w:t>
      </w:r>
      <w:r>
        <w:rPr>
          <w:rFonts w:ascii="Century Gothic" w:hAnsi="Century Gothic" w:cs="Times New Roman"/>
        </w:rPr>
        <w:t xml:space="preserve">] </w:t>
      </w:r>
      <w:hyperlink r:id="rId4" w:tooltip="Univers Strikes Back" w:history="1">
        <w:proofErr w:type="spellStart"/>
        <w:r w:rsidRPr="00D037F5">
          <w:rPr>
            <w:rFonts w:ascii="Century Gothic" w:eastAsia="Times New Roman" w:hAnsi="Century Gothic" w:cs="Times New Roman"/>
            <w:b/>
            <w:bCs/>
            <w:color w:val="0000FF"/>
            <w:u w:val="single"/>
          </w:rPr>
          <w:t>Univers</w:t>
        </w:r>
        <w:proofErr w:type="spellEnd"/>
        <w:r w:rsidRPr="00D037F5">
          <w:rPr>
            <w:rFonts w:ascii="Century Gothic" w:eastAsia="Times New Roman" w:hAnsi="Century Gothic" w:cs="Times New Roman"/>
            <w:b/>
            <w:bCs/>
            <w:color w:val="0000FF"/>
            <w:u w:val="single"/>
          </w:rPr>
          <w:t xml:space="preserve"> Strikes Back</w:t>
        </w:r>
      </w:hyperlink>
    </w:p>
    <w:p w14:paraId="71627011" w14:textId="77777777" w:rsidR="00D037F5" w:rsidRPr="00D037F5" w:rsidRDefault="00D037F5" w:rsidP="00D037F5">
      <w:pPr>
        <w:spacing w:before="100" w:beforeAutospacing="1" w:after="100" w:afterAutospacing="1"/>
        <w:rPr>
          <w:rFonts w:ascii="Century Gothic" w:hAnsi="Century Gothic" w:cs="Times New Roman"/>
        </w:rPr>
      </w:pPr>
      <w:r w:rsidRPr="00D037F5">
        <w:rPr>
          <w:rFonts w:ascii="Century Gothic" w:hAnsi="Century Gothic" w:cs="Times New Roman"/>
        </w:rPr>
        <w:t xml:space="preserve">Essay published in Helen Armstrong, </w:t>
      </w:r>
      <w:r w:rsidRPr="00D037F5">
        <w:rPr>
          <w:rFonts w:ascii="Century Gothic" w:hAnsi="Century Gothic" w:cs="Times New Roman"/>
          <w:i/>
          <w:iCs/>
        </w:rPr>
        <w:t>Graphic Design Theory: Readings from the Field</w:t>
      </w:r>
      <w:r w:rsidRPr="00D037F5">
        <w:rPr>
          <w:rFonts w:ascii="Century Gothic" w:hAnsi="Century Gothic" w:cs="Times New Roman"/>
        </w:rPr>
        <w:t xml:space="preserve"> (Princeton Architectural Press, 2009). Co-authored with Julia Lupton.</w:t>
      </w:r>
    </w:p>
    <w:p w14:paraId="68722B24" w14:textId="77777777" w:rsidR="00D037F5" w:rsidRPr="00D037F5" w:rsidRDefault="00D037F5" w:rsidP="00D037F5">
      <w:pPr>
        <w:spacing w:before="100" w:beforeAutospacing="1" w:after="100" w:afterAutospacing="1"/>
        <w:rPr>
          <w:rFonts w:ascii="Century Gothic" w:hAnsi="Century Gothic" w:cs="Times New Roman"/>
        </w:rPr>
      </w:pPr>
      <w:r w:rsidRPr="00D037F5">
        <w:rPr>
          <w:rFonts w:ascii="Century Gothic" w:hAnsi="Century Gothic" w:cs="Times New Roman"/>
        </w:rPr>
        <w:t xml:space="preserve">In </w:t>
      </w:r>
      <w:r w:rsidRPr="00D037F5">
        <w:rPr>
          <w:rFonts w:ascii="Century Gothic" w:hAnsi="Century Gothic" w:cs="Times New Roman"/>
          <w:i/>
          <w:iCs/>
        </w:rPr>
        <w:t>Print</w:t>
      </w:r>
      <w:r w:rsidRPr="00D037F5">
        <w:rPr>
          <w:rFonts w:ascii="Century Gothic" w:hAnsi="Century Gothic" w:cs="Times New Roman"/>
        </w:rPr>
        <w:t xml:space="preserve"> magazine in 2002, Katherine McCoy challenged designers to support local cultures by practicing </w:t>
      </w:r>
      <w:commentRangeStart w:id="0"/>
      <w:r w:rsidRPr="00D037F5">
        <w:rPr>
          <w:rFonts w:ascii="Century Gothic" w:hAnsi="Century Gothic" w:cs="Times New Roman"/>
        </w:rPr>
        <w:t>audience-centered design</w:t>
      </w:r>
      <w:commentRangeEnd w:id="0"/>
      <w:r w:rsidR="00EA1BD7">
        <w:rPr>
          <w:rStyle w:val="CommentReference"/>
        </w:rPr>
        <w:commentReference w:id="0"/>
      </w:r>
      <w:r w:rsidRPr="00D037F5">
        <w:rPr>
          <w:rFonts w:ascii="Century Gothic" w:hAnsi="Century Gothic" w:cs="Times New Roman"/>
        </w:rPr>
        <w:t xml:space="preserve">. McCoy was voicing the post-modern </w:t>
      </w:r>
      <w:commentRangeStart w:id="1"/>
      <w:commentRangeStart w:id="2"/>
      <w:commentRangeStart w:id="3"/>
      <w:r w:rsidRPr="00CD02F8">
        <w:rPr>
          <w:rFonts w:ascii="Century Gothic" w:hAnsi="Century Gothic" w:cs="Times New Roman"/>
          <w:highlight w:val="cyan"/>
        </w:rPr>
        <w:t>disillusion</w:t>
      </w:r>
      <w:r w:rsidRPr="00D037F5">
        <w:rPr>
          <w:rFonts w:ascii="Century Gothic" w:hAnsi="Century Gothic" w:cs="Times New Roman"/>
        </w:rPr>
        <w:t xml:space="preserve"> </w:t>
      </w:r>
      <w:commentRangeEnd w:id="1"/>
      <w:r w:rsidR="00EA1BD7">
        <w:rPr>
          <w:rStyle w:val="CommentReference"/>
        </w:rPr>
        <w:commentReference w:id="1"/>
      </w:r>
      <w:commentRangeEnd w:id="2"/>
      <w:r w:rsidR="00EA1BD7">
        <w:rPr>
          <w:rStyle w:val="CommentReference"/>
        </w:rPr>
        <w:commentReference w:id="2"/>
      </w:r>
      <w:commentRangeEnd w:id="3"/>
      <w:r w:rsidR="00EA1BD7">
        <w:rPr>
          <w:rStyle w:val="CommentReference"/>
        </w:rPr>
        <w:commentReference w:id="3"/>
      </w:r>
      <w:r w:rsidRPr="00D037F5">
        <w:rPr>
          <w:rFonts w:ascii="Century Gothic" w:hAnsi="Century Gothic" w:cs="Times New Roman"/>
        </w:rPr>
        <w:t xml:space="preserve">with </w:t>
      </w:r>
      <w:commentRangeStart w:id="4"/>
      <w:commentRangeStart w:id="5"/>
      <w:commentRangeStart w:id="6"/>
      <w:commentRangeStart w:id="7"/>
      <w:r w:rsidRPr="00D037F5">
        <w:rPr>
          <w:rFonts w:ascii="Century Gothic" w:hAnsi="Century Gothic" w:cs="Times New Roman"/>
        </w:rPr>
        <w:t>universal design</w:t>
      </w:r>
      <w:commentRangeEnd w:id="4"/>
      <w:r w:rsidR="00EA1BD7">
        <w:rPr>
          <w:rStyle w:val="CommentReference"/>
        </w:rPr>
        <w:commentReference w:id="4"/>
      </w:r>
      <w:commentRangeEnd w:id="5"/>
      <w:r w:rsidR="00EA1BD7">
        <w:rPr>
          <w:rStyle w:val="CommentReference"/>
        </w:rPr>
        <w:commentReference w:id="5"/>
      </w:r>
      <w:commentRangeEnd w:id="6"/>
      <w:r w:rsidR="00EA1BD7">
        <w:rPr>
          <w:rStyle w:val="CommentReference"/>
        </w:rPr>
        <w:commentReference w:id="6"/>
      </w:r>
      <w:commentRangeEnd w:id="7"/>
      <w:r w:rsidR="00EA1BD7">
        <w:rPr>
          <w:rStyle w:val="CommentReference"/>
        </w:rPr>
        <w:commentReference w:id="7"/>
      </w:r>
      <w:r w:rsidRPr="00D037F5">
        <w:rPr>
          <w:rFonts w:ascii="Century Gothic" w:hAnsi="Century Gothic" w:cs="Times New Roman"/>
        </w:rPr>
        <w:t xml:space="preserve">. “As a Modernist Swiss-school graphic designer in the late ‘60s,” McCoy wrote, </w:t>
      </w:r>
      <w:r w:rsidRPr="00CD02F8">
        <w:rPr>
          <w:rFonts w:ascii="Century Gothic" w:hAnsi="Century Gothic" w:cs="Times New Roman"/>
          <w:highlight w:val="green"/>
        </w:rPr>
        <w:t>“I knew we were going to remake the world in Helvetica.”</w:t>
      </w:r>
      <w:hyperlink r:id="rId7" w:anchor="_edn1" w:history="1">
        <w:r w:rsidRPr="00CD02F8">
          <w:rPr>
            <w:rFonts w:ascii="Century Gothic" w:hAnsi="Century Gothic" w:cs="Times New Roman"/>
            <w:color w:val="0000FF"/>
            <w:highlight w:val="green"/>
            <w:u w:val="single"/>
          </w:rPr>
          <w:t>[</w:t>
        </w:r>
        <w:proofErr w:type="spellStart"/>
        <w:r w:rsidRPr="00CD02F8">
          <w:rPr>
            <w:rFonts w:ascii="Century Gothic" w:hAnsi="Century Gothic" w:cs="Times New Roman"/>
            <w:color w:val="0000FF"/>
            <w:highlight w:val="green"/>
            <w:u w:val="single"/>
          </w:rPr>
          <w:t>i</w:t>
        </w:r>
        <w:proofErr w:type="spellEnd"/>
        <w:r w:rsidRPr="00CD02F8">
          <w:rPr>
            <w:rFonts w:ascii="Century Gothic" w:hAnsi="Century Gothic" w:cs="Times New Roman"/>
            <w:color w:val="0000FF"/>
            <w:highlight w:val="green"/>
            <w:u w:val="single"/>
          </w:rPr>
          <w:t>]</w:t>
        </w:r>
      </w:hyperlink>
      <w:r w:rsidRPr="00D037F5">
        <w:rPr>
          <w:rFonts w:ascii="Century Gothic" w:hAnsi="Century Gothic" w:cs="Times New Roman"/>
        </w:rPr>
        <w:t xml:space="preserve"> </w:t>
      </w:r>
      <w:r w:rsidRPr="00CD02F8">
        <w:rPr>
          <w:rFonts w:ascii="Century Gothic" w:hAnsi="Century Gothic" w:cs="Times New Roman"/>
          <w:highlight w:val="cyan"/>
        </w:rPr>
        <w:t>Modernism</w:t>
      </w:r>
      <w:r w:rsidRPr="00D037F5">
        <w:rPr>
          <w:rFonts w:ascii="Century Gothic" w:hAnsi="Century Gothic" w:cs="Times New Roman"/>
        </w:rPr>
        <w:t xml:space="preserve"> sought a common language built on systems and </w:t>
      </w:r>
      <w:commentRangeStart w:id="8"/>
      <w:r w:rsidRPr="00CD02F8">
        <w:rPr>
          <w:rFonts w:ascii="Century Gothic" w:hAnsi="Century Gothic" w:cs="Times New Roman"/>
          <w:highlight w:val="cyan"/>
        </w:rPr>
        <w:t>modularity</w:t>
      </w:r>
      <w:commentRangeEnd w:id="8"/>
      <w:r w:rsidR="004A0B93">
        <w:rPr>
          <w:rStyle w:val="CommentReference"/>
        </w:rPr>
        <w:commentReference w:id="8"/>
      </w:r>
      <w:r w:rsidRPr="00D037F5">
        <w:rPr>
          <w:rFonts w:ascii="Century Gothic" w:hAnsi="Century Gothic" w:cs="Times New Roman"/>
        </w:rPr>
        <w:t xml:space="preserve">; in contrast, the post-modernists </w:t>
      </w:r>
      <w:r w:rsidRPr="00CD02F8">
        <w:rPr>
          <w:rFonts w:ascii="Century Gothic" w:hAnsi="Century Gothic" w:cs="Times New Roman"/>
          <w:highlight w:val="cyan"/>
        </w:rPr>
        <w:t>valorized</w:t>
      </w:r>
      <w:r w:rsidRPr="00D037F5">
        <w:rPr>
          <w:rFonts w:ascii="Century Gothic" w:hAnsi="Century Gothic" w:cs="Times New Roman"/>
        </w:rPr>
        <w:t xml:space="preserve"> the special </w:t>
      </w:r>
      <w:r w:rsidRPr="00CD02F8">
        <w:rPr>
          <w:rFonts w:ascii="Century Gothic" w:hAnsi="Century Gothic" w:cs="Times New Roman"/>
          <w:highlight w:val="cyan"/>
        </w:rPr>
        <w:t>idioms</w:t>
      </w:r>
      <w:r w:rsidRPr="00D037F5">
        <w:rPr>
          <w:rFonts w:ascii="Century Gothic" w:hAnsi="Century Gothic" w:cs="Times New Roman"/>
        </w:rPr>
        <w:t xml:space="preserve"> and </w:t>
      </w:r>
      <w:r w:rsidRPr="00CD02F8">
        <w:rPr>
          <w:rFonts w:ascii="Century Gothic" w:hAnsi="Century Gothic" w:cs="Times New Roman"/>
          <w:highlight w:val="cyan"/>
        </w:rPr>
        <w:t>dialects</w:t>
      </w:r>
      <w:r w:rsidRPr="00D037F5">
        <w:rPr>
          <w:rFonts w:ascii="Century Gothic" w:hAnsi="Century Gothic" w:cs="Times New Roman"/>
        </w:rPr>
        <w:t xml:space="preserve"> of cultures and subcultures</w:t>
      </w:r>
      <w:commentRangeStart w:id="9"/>
      <w:r w:rsidRPr="00D037F5">
        <w:rPr>
          <w:rFonts w:ascii="Century Gothic" w:hAnsi="Century Gothic" w:cs="Times New Roman"/>
        </w:rPr>
        <w:t>.</w:t>
      </w:r>
      <w:commentRangeEnd w:id="9"/>
      <w:r w:rsidR="00721A56">
        <w:rPr>
          <w:rStyle w:val="CommentReference"/>
        </w:rPr>
        <w:commentReference w:id="9"/>
      </w:r>
    </w:p>
    <w:p w14:paraId="7EEE04BA" w14:textId="77777777" w:rsidR="00D037F5" w:rsidRPr="00D037F5" w:rsidRDefault="00D037F5" w:rsidP="00D037F5">
      <w:pPr>
        <w:spacing w:before="100" w:beforeAutospacing="1" w:after="100" w:afterAutospacing="1"/>
        <w:rPr>
          <w:rFonts w:ascii="Century Gothic" w:hAnsi="Century Gothic" w:cs="Times New Roman"/>
        </w:rPr>
      </w:pPr>
      <w:commentRangeStart w:id="10"/>
      <w:r w:rsidRPr="00D037F5">
        <w:rPr>
          <w:rFonts w:ascii="Century Gothic" w:hAnsi="Century Gothic" w:cs="Times New Roman"/>
        </w:rPr>
        <w:t xml:space="preserve">Today, </w:t>
      </w:r>
      <w:commentRangeStart w:id="11"/>
      <w:r w:rsidRPr="004A0B93">
        <w:rPr>
          <w:rFonts w:ascii="Century Gothic" w:hAnsi="Century Gothic" w:cs="Times New Roman"/>
          <w:u w:val="single"/>
        </w:rPr>
        <w:t>culture seems as much a problem as a solution</w:t>
      </w:r>
      <w:commentRangeEnd w:id="11"/>
      <w:r w:rsidR="004A0B93">
        <w:rPr>
          <w:rStyle w:val="CommentReference"/>
        </w:rPr>
        <w:commentReference w:id="11"/>
      </w:r>
      <w:r w:rsidRPr="00D037F5">
        <w:rPr>
          <w:rFonts w:ascii="Century Gothic" w:hAnsi="Century Gothic" w:cs="Times New Roman"/>
        </w:rPr>
        <w:t xml:space="preserve">. Differences in ideology, religion, and national identity are tearing apart communities, countries, and the world itself. Tribal hatreds and civil warfare as well as corporate greed and imperial arrogance are doing the damage. No longer satisfied by the cult of cultures, philosophers, </w:t>
      </w:r>
      <w:r w:rsidRPr="004A0B93">
        <w:rPr>
          <w:rFonts w:ascii="Century Gothic" w:hAnsi="Century Gothic" w:cs="Times New Roman"/>
          <w:highlight w:val="cyan"/>
        </w:rPr>
        <w:t>theologians</w:t>
      </w:r>
      <w:r w:rsidRPr="00D037F5">
        <w:rPr>
          <w:rFonts w:ascii="Century Gothic" w:hAnsi="Century Gothic" w:cs="Times New Roman"/>
        </w:rPr>
        <w:t>, journalists, and artists around the world are recovering the universal ideas embedded in their particular religious, national, or communal orientations, whether it’s love of neighbor, the equality of citizens, human rights, or responsibility for a shared planet</w:t>
      </w:r>
      <w:commentRangeStart w:id="12"/>
      <w:r w:rsidRPr="00D037F5">
        <w:rPr>
          <w:rFonts w:ascii="Century Gothic" w:hAnsi="Century Gothic" w:cs="Times New Roman"/>
        </w:rPr>
        <w:t>.</w:t>
      </w:r>
      <w:commentRangeEnd w:id="10"/>
      <w:r w:rsidR="004A0B93">
        <w:rPr>
          <w:rStyle w:val="CommentReference"/>
        </w:rPr>
        <w:commentReference w:id="10"/>
      </w:r>
      <w:commentRangeEnd w:id="12"/>
      <w:r w:rsidR="00721A56">
        <w:rPr>
          <w:rStyle w:val="CommentReference"/>
        </w:rPr>
        <w:commentReference w:id="12"/>
      </w:r>
    </w:p>
    <w:p w14:paraId="0C384F0E" w14:textId="77777777" w:rsidR="00D037F5" w:rsidRPr="00D037F5" w:rsidRDefault="00D037F5" w:rsidP="00D037F5">
      <w:pPr>
        <w:spacing w:before="100" w:beforeAutospacing="1" w:after="100" w:afterAutospacing="1"/>
        <w:rPr>
          <w:rFonts w:ascii="Century Gothic" w:hAnsi="Century Gothic" w:cs="Times New Roman"/>
        </w:rPr>
      </w:pPr>
      <w:r w:rsidRPr="00D037F5">
        <w:rPr>
          <w:rFonts w:ascii="Century Gothic" w:hAnsi="Century Gothic" w:cs="Times New Roman"/>
        </w:rPr>
        <w:t xml:space="preserve">Kwame Anthony </w:t>
      </w:r>
      <w:proofErr w:type="spellStart"/>
      <w:r w:rsidRPr="00D037F5">
        <w:rPr>
          <w:rFonts w:ascii="Century Gothic" w:hAnsi="Century Gothic" w:cs="Times New Roman"/>
        </w:rPr>
        <w:t>Appiah</w:t>
      </w:r>
      <w:proofErr w:type="spellEnd"/>
      <w:r w:rsidRPr="00D037F5">
        <w:rPr>
          <w:rFonts w:ascii="Century Gothic" w:hAnsi="Century Gothic" w:cs="Times New Roman"/>
        </w:rPr>
        <w:t>, the Princeton philosopher and ethicist born and raised in Ghana, has questioned the values of multiculturalism in the name of a new “cosmopolitanism,” literally, “world citizenship.”</w:t>
      </w:r>
      <w:hyperlink r:id="rId8" w:anchor="_edn2" w:history="1">
        <w:r w:rsidRPr="00D037F5">
          <w:rPr>
            <w:rFonts w:ascii="Century Gothic" w:hAnsi="Century Gothic" w:cs="Times New Roman"/>
            <w:color w:val="0000FF"/>
            <w:u w:val="single"/>
          </w:rPr>
          <w:t>[ii]</w:t>
        </w:r>
      </w:hyperlink>
      <w:r w:rsidRPr="00D037F5">
        <w:rPr>
          <w:rFonts w:ascii="Century Gothic" w:hAnsi="Century Gothic" w:cs="Times New Roman"/>
        </w:rPr>
        <w:t xml:space="preserve"> Kumasi, the thriving, multilingual capital of Ghana’s Asante region, is populated by people of Asante, Hausa, South Asian, Middle Eastern, and British descent. In a small village just twenty miles way, the population is more ethnically homogeneous, but the culture is nonetheless connected to the world. “The villagers,” </w:t>
      </w:r>
      <w:proofErr w:type="spellStart"/>
      <w:r w:rsidRPr="00D037F5">
        <w:rPr>
          <w:rFonts w:ascii="Century Gothic" w:hAnsi="Century Gothic" w:cs="Times New Roman"/>
        </w:rPr>
        <w:t>Appiah</w:t>
      </w:r>
      <w:proofErr w:type="spellEnd"/>
      <w:r w:rsidRPr="00D037F5">
        <w:rPr>
          <w:rFonts w:ascii="Century Gothic" w:hAnsi="Century Gothic" w:cs="Times New Roman"/>
        </w:rPr>
        <w:t xml:space="preserve"> writes, “will have radios; you will probably be able to get a discussion going about the </w:t>
      </w:r>
      <w:bookmarkStart w:id="13" w:name="_GoBack"/>
      <w:bookmarkEnd w:id="13"/>
      <w:r w:rsidRPr="00D037F5">
        <w:rPr>
          <w:rFonts w:ascii="Century Gothic" w:hAnsi="Century Gothic" w:cs="Times New Roman"/>
        </w:rPr>
        <w:t xml:space="preserve">World Cup in soccer, Muhammad Ali, Mike Tyson, and hip hop.” They’ll be drinking Guinness and Coca-Cola as well as Star Lager, Ghana’s own beer. But, he notes, you’ll hear the local language, not English, playing on the radio, and their favorite soccer teams will be </w:t>
      </w:r>
      <w:proofErr w:type="spellStart"/>
      <w:r w:rsidRPr="00D037F5">
        <w:rPr>
          <w:rFonts w:ascii="Century Gothic" w:hAnsi="Century Gothic" w:cs="Times New Roman"/>
        </w:rPr>
        <w:t>Ghanian</w:t>
      </w:r>
      <w:proofErr w:type="spellEnd"/>
      <w:r w:rsidRPr="00D037F5">
        <w:rPr>
          <w:rFonts w:ascii="Century Gothic" w:hAnsi="Century Gothic" w:cs="Times New Roman"/>
        </w:rPr>
        <w:t>. These villages may be connected globally, but their homogeneity “is still the local kind” – the same level and style of homogeneity, he writes provocatively, that you would find in a New Jersey suburb (102).</w:t>
      </w:r>
    </w:p>
    <w:p w14:paraId="673D8CBF" w14:textId="77777777" w:rsidR="00D037F5" w:rsidRPr="00D037F5" w:rsidRDefault="00D037F5" w:rsidP="00D037F5">
      <w:pPr>
        <w:spacing w:before="100" w:beforeAutospacing="1" w:after="100" w:afterAutospacing="1"/>
        <w:rPr>
          <w:rFonts w:ascii="Century Gothic" w:hAnsi="Century Gothic" w:cs="Times New Roman"/>
        </w:rPr>
      </w:pPr>
      <w:proofErr w:type="spellStart"/>
      <w:r w:rsidRPr="00D037F5">
        <w:rPr>
          <w:rFonts w:ascii="Century Gothic" w:hAnsi="Century Gothic" w:cs="Times New Roman"/>
        </w:rPr>
        <w:t>Appiah</w:t>
      </w:r>
      <w:proofErr w:type="spellEnd"/>
      <w:r w:rsidRPr="00D037F5">
        <w:rPr>
          <w:rFonts w:ascii="Century Gothic" w:hAnsi="Century Gothic" w:cs="Times New Roman"/>
        </w:rPr>
        <w:t xml:space="preserve"> eloquently opposes the attempt to create artificial museums out of local cultures. The world, he argues, is made up of individuals, not of cultures. Individuals belong to a shared humanity and a global civilization as well as to a local community. A cosmopolitan place such as New York or Paris or Kumasi draws its energy from a mix of persons inextricably connected with a larger world who have the right to participate in a world discourse.</w:t>
      </w:r>
    </w:p>
    <w:p w14:paraId="3F4D7239" w14:textId="77777777" w:rsidR="00D037F5" w:rsidRPr="00D037F5" w:rsidRDefault="00D037F5" w:rsidP="00D037F5">
      <w:pPr>
        <w:spacing w:before="100" w:beforeAutospacing="1" w:after="100" w:afterAutospacing="1"/>
        <w:rPr>
          <w:rFonts w:ascii="Century Gothic" w:hAnsi="Century Gothic" w:cs="Times New Roman"/>
        </w:rPr>
      </w:pPr>
      <w:r w:rsidRPr="00D037F5">
        <w:rPr>
          <w:rFonts w:ascii="Century Gothic" w:hAnsi="Century Gothic" w:cs="Times New Roman"/>
        </w:rPr>
        <w:lastRenderedPageBreak/>
        <w:t xml:space="preserve">Post-modernists exposed the ideal of universal communication as naïvely utopian at best and oppressively colonial at worst. After World War II, ideas pioneered by the modernist avant-garde came to serve globalization, whose international branding campaigns allow international brands, from Coca Cola and McDonald’s to IKEA and Starbucks, to compete with indigenous goods and services. Witness, in New York City, the gradual disappearance of the classic Greek diner coffee cup, designed by Leslie Buck in 1963 for a Connecticut paper goods manufacturer; once a ubiquitous throwaway, the rise of Starbucks has rendered it a nostalgic museum-shop souvenir. </w:t>
      </w:r>
      <w:hyperlink r:id="rId9" w:anchor="_edn3" w:history="1">
        <w:r w:rsidRPr="00D037F5">
          <w:rPr>
            <w:rFonts w:ascii="Century Gothic" w:hAnsi="Century Gothic" w:cs="Times New Roman"/>
            <w:color w:val="0000FF"/>
            <w:u w:val="single"/>
          </w:rPr>
          <w:t>[iii]</w:t>
        </w:r>
      </w:hyperlink>
    </w:p>
    <w:p w14:paraId="1923D1B2" w14:textId="77777777" w:rsidR="00D037F5" w:rsidRPr="00D037F5" w:rsidRDefault="00D037F5" w:rsidP="00D037F5">
      <w:pPr>
        <w:spacing w:before="100" w:beforeAutospacing="1" w:after="100" w:afterAutospacing="1"/>
        <w:rPr>
          <w:rFonts w:ascii="Century Gothic" w:hAnsi="Century Gothic" w:cs="Times New Roman"/>
        </w:rPr>
      </w:pPr>
      <w:r w:rsidRPr="00D037F5">
        <w:rPr>
          <w:rFonts w:ascii="Century Gothic" w:hAnsi="Century Gothic" w:cs="Times New Roman"/>
        </w:rPr>
        <w:t xml:space="preserve">But can global design sometimes affirm cultural identity while enhancing millions of lives? Consider IKEA, a company that has integrated furniture design, manufacture, and branding with the social trends of nomadic living, customization, and disposability. Objects such as the humble </w:t>
      </w:r>
      <w:proofErr w:type="spellStart"/>
      <w:r w:rsidRPr="00D037F5">
        <w:rPr>
          <w:rFonts w:ascii="Century Gothic" w:hAnsi="Century Gothic" w:cs="Times New Roman"/>
        </w:rPr>
        <w:t>Klippan</w:t>
      </w:r>
      <w:proofErr w:type="spellEnd"/>
      <w:r w:rsidRPr="00D037F5">
        <w:rPr>
          <w:rFonts w:ascii="Century Gothic" w:hAnsi="Century Gothic" w:cs="Times New Roman"/>
        </w:rPr>
        <w:t xml:space="preserve"> couch, designed by Lars </w:t>
      </w:r>
      <w:proofErr w:type="spellStart"/>
      <w:r w:rsidRPr="00D037F5">
        <w:rPr>
          <w:rFonts w:ascii="Century Gothic" w:hAnsi="Century Gothic" w:cs="Times New Roman"/>
        </w:rPr>
        <w:t>Engman</w:t>
      </w:r>
      <w:proofErr w:type="spellEnd"/>
      <w:r w:rsidRPr="00D037F5">
        <w:rPr>
          <w:rFonts w:ascii="Century Gothic" w:hAnsi="Century Gothic" w:cs="Times New Roman"/>
        </w:rPr>
        <w:t xml:space="preserve"> in 1980, make good on the democratic ideals of the early modernist designers. Whereas few Bauhaus products ever reached mass markets, the </w:t>
      </w:r>
      <w:proofErr w:type="spellStart"/>
      <w:r w:rsidRPr="00D037F5">
        <w:rPr>
          <w:rFonts w:ascii="Century Gothic" w:hAnsi="Century Gothic" w:cs="Times New Roman"/>
        </w:rPr>
        <w:t>Klippan</w:t>
      </w:r>
      <w:proofErr w:type="spellEnd"/>
      <w:r w:rsidRPr="00D037F5">
        <w:rPr>
          <w:rFonts w:ascii="Century Gothic" w:hAnsi="Century Gothic" w:cs="Times New Roman"/>
        </w:rPr>
        <w:t>, selling for under $200, has found a place in over a million homes in dozens of regions around the world.</w:t>
      </w:r>
    </w:p>
    <w:p w14:paraId="0E305D1A" w14:textId="77777777" w:rsidR="00D037F5" w:rsidRPr="00D037F5" w:rsidRDefault="00D037F5" w:rsidP="00D037F5">
      <w:pPr>
        <w:spacing w:before="100" w:beforeAutospacing="1" w:after="100" w:afterAutospacing="1"/>
        <w:rPr>
          <w:rFonts w:ascii="Century Gothic" w:hAnsi="Century Gothic" w:cs="Times New Roman"/>
        </w:rPr>
      </w:pPr>
      <w:r w:rsidRPr="00D037F5">
        <w:rPr>
          <w:rFonts w:ascii="Century Gothic" w:hAnsi="Century Gothic" w:cs="Times New Roman"/>
        </w:rPr>
        <w:t xml:space="preserve">One could fault IKEA for spreading the monotony of globalization. Although IKEA is a global company, it maintains a distinct regional identity (think meatballs, </w:t>
      </w:r>
      <w:proofErr w:type="spellStart"/>
      <w:r w:rsidRPr="00D037F5">
        <w:rPr>
          <w:rFonts w:ascii="Century Gothic" w:hAnsi="Century Gothic" w:cs="Times New Roman"/>
        </w:rPr>
        <w:t>lingonberries</w:t>
      </w:r>
      <w:proofErr w:type="spellEnd"/>
      <w:r w:rsidRPr="00D037F5">
        <w:rPr>
          <w:rFonts w:ascii="Century Gothic" w:hAnsi="Century Gothic" w:cs="Times New Roman"/>
        </w:rPr>
        <w:t xml:space="preserve">, and cured salmon). Founded in 1943, IKEA built its product line around a Scandinavian variant of modernism—comfortable, casual, and adaptable to individual tastes. IKEA soon established stores in other Scandinavian countries and then across Western Europe and beyond. When IKEA built its first U.S. store in 1985, the company already had outlets in Hong Kong, Australia, Saudi Arabia, and Dubai. </w:t>
      </w:r>
      <w:hyperlink r:id="rId10" w:anchor="_edn4" w:history="1">
        <w:r w:rsidRPr="00D037F5">
          <w:rPr>
            <w:rFonts w:ascii="Century Gothic" w:hAnsi="Century Gothic" w:cs="Times New Roman"/>
            <w:color w:val="0000FF"/>
            <w:u w:val="single"/>
          </w:rPr>
          <w:t>[iv]</w:t>
        </w:r>
      </w:hyperlink>
      <w:r w:rsidRPr="00D037F5">
        <w:rPr>
          <w:rFonts w:ascii="Century Gothic" w:hAnsi="Century Gothic" w:cs="Times New Roman"/>
        </w:rPr>
        <w:t xml:space="preserve"> Wherever IKEA opens its doors, people line up outside. In contrast with Coca Cola and McDonald’s, companies that tune their marketing and their recipes to local tastes, IKEA’s merchandise and store design are more or less uniform across the world. At the same time, their products reflect and acknowledge global influences. A current store display tucks a tiny Japanese tea room at the end of a galley kitchen, marrying Nordic and Asian modes of minimalism.</w:t>
      </w:r>
    </w:p>
    <w:p w14:paraId="70707433" w14:textId="77777777" w:rsidR="00D037F5" w:rsidRPr="00D037F5" w:rsidRDefault="00D037F5" w:rsidP="00D037F5">
      <w:pPr>
        <w:spacing w:before="100" w:beforeAutospacing="1" w:after="100" w:afterAutospacing="1"/>
        <w:rPr>
          <w:rFonts w:ascii="Century Gothic" w:hAnsi="Century Gothic" w:cs="Times New Roman"/>
        </w:rPr>
      </w:pPr>
      <w:r w:rsidRPr="00D037F5">
        <w:rPr>
          <w:rFonts w:ascii="Century Gothic" w:hAnsi="Century Gothic" w:cs="Times New Roman"/>
        </w:rPr>
        <w:t xml:space="preserve">Take the case of clothing sizes. In 1958, the US government standardized sizes so that consumers could shop more reliably. In 1983, in the face of the changing shape of American bodies, these standards were abandoned and companies set their own. When you choose a brand, you’re choosing a whole bundle of identifiers – not just gender, but age, class, and life style. Hanes are oversized for the underclass, while American Apparel is slimmed down for the youth market. Tim </w:t>
      </w:r>
      <w:proofErr w:type="spellStart"/>
      <w:r w:rsidRPr="00D037F5">
        <w:rPr>
          <w:rFonts w:ascii="Century Gothic" w:hAnsi="Century Gothic" w:cs="Times New Roman"/>
        </w:rPr>
        <w:t>Kaeding</w:t>
      </w:r>
      <w:proofErr w:type="spellEnd"/>
      <w:r w:rsidRPr="00D037F5">
        <w:rPr>
          <w:rFonts w:ascii="Century Gothic" w:hAnsi="Century Gothic" w:cs="Times New Roman"/>
        </w:rPr>
        <w:t>, creative director for 7 for All Mankind, a California jeans company, confessed in a recent interview, “In the jeans world especially, size is not a precise science. It’s almost an irrelevant, made up number system.”</w:t>
      </w:r>
      <w:hyperlink r:id="rId11" w:anchor="_edn5" w:history="1">
        <w:r w:rsidRPr="00D037F5">
          <w:rPr>
            <w:rFonts w:ascii="Century Gothic" w:hAnsi="Century Gothic" w:cs="Times New Roman"/>
            <w:color w:val="0000FF"/>
            <w:u w:val="single"/>
          </w:rPr>
          <w:t>[v]</w:t>
        </w:r>
      </w:hyperlink>
      <w:r w:rsidRPr="00D037F5">
        <w:rPr>
          <w:rFonts w:ascii="Century Gothic" w:hAnsi="Century Gothic" w:cs="Times New Roman"/>
        </w:rPr>
        <w:t xml:space="preserve"> Whose fault is that, anyway? Consumers practice the art of denial in response to a diet </w:t>
      </w:r>
      <w:r w:rsidRPr="00D037F5">
        <w:rPr>
          <w:rFonts w:ascii="Century Gothic" w:hAnsi="Century Gothic" w:cs="Times New Roman"/>
        </w:rPr>
        <w:lastRenderedPageBreak/>
        <w:t xml:space="preserve">of fast food </w:t>
      </w:r>
      <w:r w:rsidRPr="002C1F6B">
        <w:rPr>
          <w:rFonts w:ascii="Century Gothic" w:hAnsi="Century Gothic" w:cs="Times New Roman"/>
          <w:highlight w:val="cyan"/>
        </w:rPr>
        <w:t>carbonated</w:t>
      </w:r>
      <w:r w:rsidRPr="00D037F5">
        <w:rPr>
          <w:rFonts w:ascii="Century Gothic" w:hAnsi="Century Gothic" w:cs="Times New Roman"/>
        </w:rPr>
        <w:t xml:space="preserve"> by images of the rich and thin. Marketers are there to make us feel better and buy more. A return to universal sizing would lead to greater transparency for consumers and producers everywhere.</w:t>
      </w:r>
    </w:p>
    <w:p w14:paraId="2526CCDA" w14:textId="77777777" w:rsidR="00D037F5" w:rsidRPr="00D037F5" w:rsidRDefault="00D037F5" w:rsidP="00D037F5">
      <w:pPr>
        <w:spacing w:before="100" w:beforeAutospacing="1" w:after="100" w:afterAutospacing="1"/>
        <w:rPr>
          <w:rFonts w:ascii="Century Gothic" w:hAnsi="Century Gothic" w:cs="Times New Roman"/>
        </w:rPr>
      </w:pPr>
      <w:r w:rsidRPr="00D037F5">
        <w:rPr>
          <w:rFonts w:ascii="Century Gothic" w:hAnsi="Century Gothic" w:cs="Times New Roman"/>
        </w:rPr>
        <w:t>How does this argument bear on graphic design? Consider the template, which offers generic solutions to common problems in a lame bid to automate design. Designer Dmitri Siegel has criticized what he calls the “</w:t>
      </w:r>
      <w:proofErr w:type="spellStart"/>
      <w:r w:rsidRPr="00D037F5">
        <w:rPr>
          <w:rFonts w:ascii="Century Gothic" w:hAnsi="Century Gothic" w:cs="Times New Roman"/>
        </w:rPr>
        <w:t>templated</w:t>
      </w:r>
      <w:proofErr w:type="spellEnd"/>
      <w:r w:rsidRPr="00D037F5">
        <w:rPr>
          <w:rFonts w:ascii="Century Gothic" w:hAnsi="Century Gothic" w:cs="Times New Roman"/>
        </w:rPr>
        <w:t xml:space="preserve"> mind,” which searches for blanks to fill out, wallpapers to customize, and products to rank and rate. The dismal templates of </w:t>
      </w:r>
      <w:proofErr w:type="spellStart"/>
      <w:r w:rsidRPr="00D037F5">
        <w:rPr>
          <w:rFonts w:ascii="Century Gothic" w:hAnsi="Century Gothic" w:cs="Times New Roman"/>
        </w:rPr>
        <w:t>Powerpoint</w:t>
      </w:r>
      <w:proofErr w:type="spellEnd"/>
      <w:r w:rsidRPr="00D037F5">
        <w:rPr>
          <w:rFonts w:ascii="Century Gothic" w:hAnsi="Century Gothic" w:cs="Times New Roman"/>
        </w:rPr>
        <w:t xml:space="preserve"> serve more to control production than to empower its users with tools for agile thinking, yielding wordy, gimmick-ridden documents.</w:t>
      </w:r>
    </w:p>
    <w:p w14:paraId="5C8D98A4" w14:textId="77777777" w:rsidR="00D037F5" w:rsidRPr="00D037F5" w:rsidRDefault="00D037F5" w:rsidP="00D037F5">
      <w:pPr>
        <w:spacing w:before="100" w:beforeAutospacing="1" w:after="100" w:afterAutospacing="1"/>
        <w:rPr>
          <w:rFonts w:ascii="Century Gothic" w:hAnsi="Century Gothic" w:cs="Times New Roman"/>
        </w:rPr>
      </w:pPr>
      <w:r w:rsidRPr="00D037F5">
        <w:rPr>
          <w:rFonts w:ascii="Century Gothic" w:hAnsi="Century Gothic" w:cs="Times New Roman"/>
        </w:rPr>
        <w:t xml:space="preserve">Yet </w:t>
      </w:r>
      <w:proofErr w:type="spellStart"/>
      <w:r w:rsidRPr="00D037F5">
        <w:rPr>
          <w:rFonts w:ascii="Century Gothic" w:hAnsi="Century Gothic" w:cs="Times New Roman"/>
        </w:rPr>
        <w:t>Powerpoint</w:t>
      </w:r>
      <w:proofErr w:type="spellEnd"/>
      <w:r w:rsidRPr="00D037F5">
        <w:rPr>
          <w:rFonts w:ascii="Century Gothic" w:hAnsi="Century Gothic" w:cs="Times New Roman"/>
        </w:rPr>
        <w:t xml:space="preserve"> has become an indispensable tool because it crosses platforms, giving everyone from school children to mid-level executives access to multimedia authoring. The challenge for designers – a group that increasingly includes thoughtful users as well as professional typographers – is to disable the stylistic limitations of templates without forgoing the expanded access to the tools of communication. For what makes design “universal” today is not the clean lines of Helvetica, but rather the spread of software such as Photoshop, Flash, and </w:t>
      </w:r>
      <w:proofErr w:type="spellStart"/>
      <w:r w:rsidRPr="00D037F5">
        <w:rPr>
          <w:rFonts w:ascii="Century Gothic" w:hAnsi="Century Gothic" w:cs="Times New Roman"/>
        </w:rPr>
        <w:t>AfterEffects</w:t>
      </w:r>
      <w:proofErr w:type="spellEnd"/>
      <w:r w:rsidRPr="00D037F5">
        <w:rPr>
          <w:rFonts w:ascii="Century Gothic" w:hAnsi="Century Gothic" w:cs="Times New Roman"/>
        </w:rPr>
        <w:t xml:space="preserve"> to vast new user groups, not just around the world but down the hall and across the street.</w:t>
      </w:r>
    </w:p>
    <w:p w14:paraId="3F25B66D" w14:textId="77777777" w:rsidR="00D037F5" w:rsidRPr="00D037F5" w:rsidRDefault="00D037F5" w:rsidP="00D037F5">
      <w:pPr>
        <w:spacing w:before="100" w:beforeAutospacing="1" w:after="100" w:afterAutospacing="1"/>
        <w:rPr>
          <w:rFonts w:ascii="Century Gothic" w:hAnsi="Century Gothic" w:cs="Times New Roman"/>
        </w:rPr>
      </w:pPr>
      <w:r w:rsidRPr="00D037F5">
        <w:rPr>
          <w:rFonts w:ascii="Century Gothic" w:hAnsi="Century Gothic" w:cs="Times New Roman"/>
        </w:rPr>
        <w:t xml:space="preserve">Transparency, layering, and hybridity have been features of artistic practice, including typography and design, since at least the rise of commercial printing. What makes these principles new again in today’s context is their ubiquitous accessibility through commonly available software. They have become, in a different way from Helvetica, </w:t>
      </w:r>
      <w:r w:rsidRPr="00D037F5">
        <w:rPr>
          <w:rFonts w:ascii="Century Gothic" w:hAnsi="Century Gothic" w:cs="Times New Roman"/>
          <w:i/>
          <w:iCs/>
        </w:rPr>
        <w:t>universal.</w:t>
      </w:r>
      <w:r w:rsidRPr="00D037F5">
        <w:rPr>
          <w:rFonts w:ascii="Century Gothic" w:hAnsi="Century Gothic" w:cs="Times New Roman"/>
        </w:rPr>
        <w:t xml:space="preserve"> The new universality pursues not a fixed, closed totality but an open infinity. It emanates from particular situations, from individual users solving specific problems. Their quirks and their quandaries force design to change and expand.</w:t>
      </w:r>
    </w:p>
    <w:p w14:paraId="24D44E30" w14:textId="77777777" w:rsidR="00D037F5" w:rsidRPr="00D037F5" w:rsidRDefault="00D037F5" w:rsidP="00D037F5">
      <w:pPr>
        <w:spacing w:before="100" w:beforeAutospacing="1" w:after="100" w:afterAutospacing="1"/>
        <w:rPr>
          <w:rFonts w:ascii="Century Gothic" w:hAnsi="Century Gothic" w:cs="Times New Roman"/>
        </w:rPr>
      </w:pPr>
      <w:r w:rsidRPr="00D037F5">
        <w:rPr>
          <w:rFonts w:ascii="Century Gothic" w:hAnsi="Century Gothic" w:cs="Times New Roman"/>
        </w:rPr>
        <w:t>Consider the attempt to define “universal design.”</w:t>
      </w:r>
      <w:hyperlink r:id="rId12" w:anchor="_edn6" w:history="1">
        <w:r w:rsidRPr="00D037F5">
          <w:rPr>
            <w:rFonts w:ascii="Century Gothic" w:hAnsi="Century Gothic" w:cs="Times New Roman"/>
            <w:color w:val="0000FF"/>
            <w:u w:val="single"/>
          </w:rPr>
          <w:t>[vi]</w:t>
        </w:r>
      </w:hyperlink>
      <w:r w:rsidRPr="00D037F5">
        <w:rPr>
          <w:rFonts w:ascii="Century Gothic" w:hAnsi="Century Gothic" w:cs="Times New Roman"/>
        </w:rPr>
        <w:t xml:space="preserve"> Does “universal design” refer to a single language or a global, </w:t>
      </w:r>
      <w:proofErr w:type="spellStart"/>
      <w:r w:rsidRPr="00D037F5">
        <w:rPr>
          <w:rFonts w:ascii="Century Gothic" w:hAnsi="Century Gothic" w:cs="Times New Roman"/>
        </w:rPr>
        <w:t>panlinguistic</w:t>
      </w:r>
      <w:proofErr w:type="spellEnd"/>
      <w:r w:rsidRPr="00D037F5">
        <w:rPr>
          <w:rFonts w:ascii="Century Gothic" w:hAnsi="Century Gothic" w:cs="Times New Roman"/>
        </w:rPr>
        <w:t xml:space="preserve"> typeface? Does it promote common access to education, tools, and software? Does it enumerate shared standards and protocols that allow information to be easily exchanged? Does it demand designing for users with diverse physical and cognitive abilities? Does it delineate a basic form language capable of describing an infinite array of visual relationships? “Universal design” encompasses all of these reference points, many of which were not concerns during modern design theory’s first wave.</w:t>
      </w:r>
    </w:p>
    <w:p w14:paraId="7FC85210" w14:textId="77777777" w:rsidR="00D037F5" w:rsidRPr="00D037F5" w:rsidRDefault="00D037F5" w:rsidP="00D037F5">
      <w:pPr>
        <w:spacing w:before="100" w:beforeAutospacing="1" w:after="100" w:afterAutospacing="1"/>
        <w:rPr>
          <w:rFonts w:ascii="Century Gothic" w:hAnsi="Century Gothic" w:cs="Times New Roman"/>
        </w:rPr>
      </w:pPr>
      <w:r w:rsidRPr="00D037F5">
        <w:rPr>
          <w:rFonts w:ascii="Century Gothic" w:hAnsi="Century Gothic" w:cs="Times New Roman"/>
        </w:rPr>
        <w:t xml:space="preserve">Multiculturalism celebrates the ethnic, racial or gender identities of designers and their audiences. But designers are also drawn together by design itself as a common language. Each reader of this magazine produces work informed by </w:t>
      </w:r>
      <w:r w:rsidRPr="00D037F5">
        <w:rPr>
          <w:rFonts w:ascii="Century Gothic" w:hAnsi="Century Gothic" w:cs="Times New Roman"/>
        </w:rPr>
        <w:lastRenderedPageBreak/>
        <w:t>his or her cultural background. But we are also engaged in a common exploration of the language of design, itself shaped by a variety of discourses, from typography to music to religion. We are developing our particular voices as people—as men and women, as members of a generation, as participants in local communities and institutions, but also as practitioners of a global design discourse. Moreover, more and more, whether we like it or not, we must approach our audiences not only as consumers of our designs, but as contributors to the designed world. The baseline that draws us all together is design.</w:t>
      </w:r>
    </w:p>
    <w:p w14:paraId="43012CB8" w14:textId="77777777" w:rsidR="00D037F5" w:rsidRPr="00D037F5" w:rsidRDefault="00D037F5" w:rsidP="00D037F5">
      <w:pPr>
        <w:spacing w:before="100" w:beforeAutospacing="1" w:after="100" w:afterAutospacing="1"/>
        <w:rPr>
          <w:rFonts w:ascii="Century Gothic" w:hAnsi="Century Gothic" w:cs="Times New Roman"/>
        </w:rPr>
      </w:pPr>
      <w:r w:rsidRPr="00D037F5">
        <w:rPr>
          <w:rFonts w:ascii="Century Gothic" w:hAnsi="Century Gothic" w:cs="Times New Roman"/>
        </w:rPr>
        <w:t xml:space="preserve">Universal design as it is emerging now, after post-modernism, is not a generic, neutral mode of communication. Rather, it is a visual language enmeshed in a technologically evolving communications environment stretched and tested by an unprecedented range of people. Individuals can engage this language on their own terms, infusing it with their own energy and sensibilities in order to create communications that are appropriate to particular publics and purposes. Just as the Asante people of Ghana enjoy both Coca Cola and Star lager, people around the world have access to pencils, pens, and paint as well as Photoshop, HTML, and Processing. People around the world sit on IKEA’s </w:t>
      </w:r>
      <w:proofErr w:type="spellStart"/>
      <w:r w:rsidRPr="00D037F5">
        <w:rPr>
          <w:rFonts w:ascii="Century Gothic" w:hAnsi="Century Gothic" w:cs="Times New Roman"/>
        </w:rPr>
        <w:t>Klippan</w:t>
      </w:r>
      <w:proofErr w:type="spellEnd"/>
      <w:r w:rsidRPr="00D037F5">
        <w:rPr>
          <w:rFonts w:ascii="Century Gothic" w:hAnsi="Century Gothic" w:cs="Times New Roman"/>
        </w:rPr>
        <w:t xml:space="preserve"> couch. They talk on cell phones (in many languages) and surf the Internet (using common protocols). Design is a visual language whose endless permutations result from the particularities of individuals, institutions, and locales that are increasingly connected to one another by acts of communication and exchange. </w:t>
      </w:r>
    </w:p>
    <w:p w14:paraId="1F1D60E4" w14:textId="77777777" w:rsidR="00D037F5" w:rsidRPr="00D037F5" w:rsidRDefault="00120816" w:rsidP="00D037F5">
      <w:pPr>
        <w:rPr>
          <w:rFonts w:ascii="Century Gothic" w:eastAsia="Times New Roman" w:hAnsi="Century Gothic" w:cs="Times New Roman"/>
        </w:rPr>
      </w:pPr>
      <w:r>
        <w:rPr>
          <w:rFonts w:ascii="Century Gothic" w:eastAsia="Times New Roman" w:hAnsi="Century Gothic" w:cs="Times New Roman"/>
        </w:rPr>
        <w:pict w14:anchorId="5AC9905F">
          <v:rect id="_x0000_i1025" style="width:0;height:1pt" o:hralign="center" o:hrstd="t" o:hr="t" fillcolor="#aaa" stroked="f"/>
        </w:pict>
      </w:r>
    </w:p>
    <w:p w14:paraId="451AE0B2" w14:textId="77777777" w:rsidR="00D037F5" w:rsidRPr="00D037F5" w:rsidRDefault="00120816" w:rsidP="00D037F5">
      <w:pPr>
        <w:spacing w:after="120"/>
        <w:rPr>
          <w:rFonts w:ascii="Century Gothic" w:hAnsi="Century Gothic" w:cs="Times New Roman"/>
        </w:rPr>
      </w:pPr>
      <w:hyperlink r:id="rId13" w:anchor="_ednref" w:history="1">
        <w:r w:rsidR="00D037F5" w:rsidRPr="00D037F5">
          <w:rPr>
            <w:rFonts w:ascii="Century Gothic" w:hAnsi="Century Gothic" w:cs="Times New Roman"/>
            <w:color w:val="0000FF"/>
            <w:u w:val="single"/>
          </w:rPr>
          <w:t>[</w:t>
        </w:r>
        <w:proofErr w:type="spellStart"/>
        <w:r w:rsidR="00D037F5" w:rsidRPr="00D037F5">
          <w:rPr>
            <w:rFonts w:ascii="Century Gothic" w:hAnsi="Century Gothic" w:cs="Times New Roman"/>
            <w:color w:val="0000FF"/>
            <w:u w:val="single"/>
          </w:rPr>
          <w:t>i</w:t>
        </w:r>
        <w:proofErr w:type="spellEnd"/>
        <w:r w:rsidR="00D037F5" w:rsidRPr="00D037F5">
          <w:rPr>
            <w:rFonts w:ascii="Century Gothic" w:hAnsi="Century Gothic" w:cs="Times New Roman"/>
            <w:color w:val="0000FF"/>
            <w:u w:val="single"/>
          </w:rPr>
          <w:t>]</w:t>
        </w:r>
      </w:hyperlink>
      <w:r w:rsidR="00D037F5" w:rsidRPr="00D037F5">
        <w:rPr>
          <w:rFonts w:ascii="Century Gothic" w:hAnsi="Century Gothic" w:cs="Times New Roman"/>
        </w:rPr>
        <w:t xml:space="preserve"> Katherine McCoy, “When Designers Create Culture,” </w:t>
      </w:r>
      <w:r w:rsidR="00D037F5" w:rsidRPr="00D037F5">
        <w:rPr>
          <w:rFonts w:ascii="Century Gothic" w:hAnsi="Century Gothic" w:cs="Times New Roman"/>
          <w:i/>
          <w:iCs/>
        </w:rPr>
        <w:t>Print</w:t>
      </w:r>
      <w:r w:rsidR="00D037F5" w:rsidRPr="00D037F5">
        <w:rPr>
          <w:rFonts w:ascii="Century Gothic" w:hAnsi="Century Gothic" w:cs="Times New Roman"/>
        </w:rPr>
        <w:t xml:space="preserve"> 2002: LVI:III, pp. 26, 181-3.</w:t>
      </w:r>
    </w:p>
    <w:p w14:paraId="332AECA6" w14:textId="77777777" w:rsidR="00D037F5" w:rsidRPr="00D037F5" w:rsidRDefault="00120816" w:rsidP="00D037F5">
      <w:pPr>
        <w:spacing w:after="120"/>
        <w:rPr>
          <w:rFonts w:ascii="Century Gothic" w:hAnsi="Century Gothic" w:cs="Times New Roman"/>
        </w:rPr>
      </w:pPr>
      <w:hyperlink r:id="rId14" w:anchor="_ednref" w:history="1">
        <w:r w:rsidR="00D037F5" w:rsidRPr="00D037F5">
          <w:rPr>
            <w:rFonts w:ascii="Century Gothic" w:hAnsi="Century Gothic" w:cs="Times New Roman"/>
            <w:color w:val="0000FF"/>
            <w:u w:val="single"/>
          </w:rPr>
          <w:t>[ii]</w:t>
        </w:r>
      </w:hyperlink>
      <w:r w:rsidR="00D037F5" w:rsidRPr="00D037F5">
        <w:rPr>
          <w:rFonts w:ascii="Century Gothic" w:hAnsi="Century Gothic" w:cs="Times New Roman"/>
        </w:rPr>
        <w:t xml:space="preserve"> Kwame Anthony </w:t>
      </w:r>
      <w:proofErr w:type="spellStart"/>
      <w:r w:rsidR="00D037F5" w:rsidRPr="00D037F5">
        <w:rPr>
          <w:rFonts w:ascii="Century Gothic" w:hAnsi="Century Gothic" w:cs="Times New Roman"/>
        </w:rPr>
        <w:t>Appiah</w:t>
      </w:r>
      <w:proofErr w:type="spellEnd"/>
      <w:r w:rsidR="00D037F5" w:rsidRPr="00D037F5">
        <w:rPr>
          <w:rFonts w:ascii="Century Gothic" w:hAnsi="Century Gothic" w:cs="Times New Roman"/>
        </w:rPr>
        <w:t xml:space="preserve">, </w:t>
      </w:r>
      <w:r w:rsidR="00D037F5" w:rsidRPr="00D037F5">
        <w:rPr>
          <w:rFonts w:ascii="Century Gothic" w:hAnsi="Century Gothic" w:cs="Times New Roman"/>
          <w:i/>
          <w:iCs/>
        </w:rPr>
        <w:t>Cosmopolitanism: Ethics in a World of Strangers</w:t>
      </w:r>
      <w:r w:rsidR="00D037F5" w:rsidRPr="00D037F5">
        <w:rPr>
          <w:rFonts w:ascii="Century Gothic" w:hAnsi="Century Gothic" w:cs="Times New Roman"/>
        </w:rPr>
        <w:t xml:space="preserve"> (New York: W. W. Norton &amp; Company, 2006).</w:t>
      </w:r>
    </w:p>
    <w:p w14:paraId="10C569EF" w14:textId="77777777" w:rsidR="00D037F5" w:rsidRPr="00D037F5" w:rsidRDefault="00120816" w:rsidP="00D037F5">
      <w:pPr>
        <w:spacing w:after="120"/>
        <w:rPr>
          <w:rFonts w:ascii="Century Gothic" w:hAnsi="Century Gothic" w:cs="Times New Roman"/>
        </w:rPr>
      </w:pPr>
      <w:hyperlink r:id="rId15" w:anchor="_ednref" w:history="1">
        <w:r w:rsidR="00D037F5" w:rsidRPr="00D037F5">
          <w:rPr>
            <w:rFonts w:ascii="Century Gothic" w:hAnsi="Century Gothic" w:cs="Times New Roman"/>
            <w:color w:val="0000FF"/>
            <w:u w:val="single"/>
          </w:rPr>
          <w:t>[iii]</w:t>
        </w:r>
      </w:hyperlink>
      <w:r w:rsidR="00D037F5" w:rsidRPr="00D037F5">
        <w:rPr>
          <w:rFonts w:ascii="Century Gothic" w:hAnsi="Century Gothic" w:cs="Times New Roman"/>
        </w:rPr>
        <w:t xml:space="preserve"> Jennifer Tobias,  “Ethnic Typography,” unpublished paper, 2004.</w:t>
      </w:r>
    </w:p>
    <w:p w14:paraId="007DB033" w14:textId="77777777" w:rsidR="00D037F5" w:rsidRPr="00D037F5" w:rsidRDefault="00120816" w:rsidP="00D037F5">
      <w:pPr>
        <w:spacing w:after="120"/>
        <w:rPr>
          <w:rFonts w:ascii="Century Gothic" w:hAnsi="Century Gothic" w:cs="Times New Roman"/>
        </w:rPr>
      </w:pPr>
      <w:hyperlink r:id="rId16" w:anchor="_ednref" w:history="1">
        <w:r w:rsidR="00D037F5" w:rsidRPr="00D037F5">
          <w:rPr>
            <w:rFonts w:ascii="Century Gothic" w:hAnsi="Century Gothic" w:cs="Times New Roman"/>
            <w:color w:val="0000FF"/>
            <w:u w:val="single"/>
          </w:rPr>
          <w:t>[iv]</w:t>
        </w:r>
      </w:hyperlink>
      <w:r w:rsidR="00D037F5" w:rsidRPr="00D037F5">
        <w:rPr>
          <w:rFonts w:ascii="Century Gothic" w:hAnsi="Century Gothic" w:cs="Times New Roman"/>
        </w:rPr>
        <w:t xml:space="preserve"> “Ikea: How the Swedish Retailer Became a Global Cult Brand,” </w:t>
      </w:r>
      <w:r w:rsidR="00D037F5" w:rsidRPr="00D037F5">
        <w:rPr>
          <w:rFonts w:ascii="Century Gothic" w:hAnsi="Century Gothic" w:cs="Times New Roman"/>
          <w:i/>
          <w:iCs/>
        </w:rPr>
        <w:t>Business Week</w:t>
      </w:r>
      <w:r w:rsidR="00D037F5" w:rsidRPr="00D037F5">
        <w:rPr>
          <w:rFonts w:ascii="Century Gothic" w:hAnsi="Century Gothic" w:cs="Times New Roman"/>
        </w:rPr>
        <w:t>, November 14, 2005 (</w:t>
      </w:r>
      <w:hyperlink r:id="rId17" w:history="1">
        <w:r w:rsidR="00D037F5" w:rsidRPr="00D037F5">
          <w:rPr>
            <w:rFonts w:ascii="Century Gothic" w:hAnsi="Century Gothic" w:cs="Times New Roman"/>
            <w:color w:val="0000FF"/>
            <w:u w:val="single"/>
          </w:rPr>
          <w:t>http://www.businessweek.com/magazine/content/05_46/b3959001.htm</w:t>
        </w:r>
      </w:hyperlink>
      <w:r w:rsidR="00D037F5" w:rsidRPr="00D037F5">
        <w:rPr>
          <w:rFonts w:ascii="Century Gothic" w:hAnsi="Century Gothic" w:cs="Times New Roman"/>
        </w:rPr>
        <w:t>, May 24, 2006).</w:t>
      </w:r>
    </w:p>
    <w:p w14:paraId="70DD34BE" w14:textId="77777777" w:rsidR="00D037F5" w:rsidRPr="00D037F5" w:rsidRDefault="00120816" w:rsidP="00D037F5">
      <w:pPr>
        <w:spacing w:after="120"/>
        <w:rPr>
          <w:rFonts w:ascii="Century Gothic" w:hAnsi="Century Gothic" w:cs="Times New Roman"/>
        </w:rPr>
      </w:pPr>
      <w:hyperlink r:id="rId18" w:anchor="_ednref" w:history="1">
        <w:r w:rsidR="00D037F5" w:rsidRPr="00D037F5">
          <w:rPr>
            <w:rFonts w:ascii="Century Gothic" w:hAnsi="Century Gothic" w:cs="Times New Roman"/>
            <w:color w:val="0000FF"/>
            <w:u w:val="single"/>
          </w:rPr>
          <w:t>[v]</w:t>
        </w:r>
      </w:hyperlink>
      <w:r w:rsidR="00D037F5" w:rsidRPr="00D037F5">
        <w:rPr>
          <w:rFonts w:ascii="Century Gothic" w:hAnsi="Century Gothic" w:cs="Times New Roman"/>
        </w:rPr>
        <w:t xml:space="preserve"> Tim </w:t>
      </w:r>
      <w:proofErr w:type="spellStart"/>
      <w:r w:rsidR="00D037F5" w:rsidRPr="00D037F5">
        <w:rPr>
          <w:rFonts w:ascii="Century Gothic" w:hAnsi="Century Gothic" w:cs="Times New Roman"/>
        </w:rPr>
        <w:t>Kaeding</w:t>
      </w:r>
      <w:proofErr w:type="spellEnd"/>
      <w:r w:rsidR="00D037F5" w:rsidRPr="00D037F5">
        <w:rPr>
          <w:rFonts w:ascii="Century Gothic" w:hAnsi="Century Gothic" w:cs="Times New Roman"/>
        </w:rPr>
        <w:t xml:space="preserve"> quoted in Robin </w:t>
      </w:r>
      <w:proofErr w:type="spellStart"/>
      <w:r w:rsidR="00D037F5" w:rsidRPr="00D037F5">
        <w:rPr>
          <w:rFonts w:ascii="Century Gothic" w:hAnsi="Century Gothic" w:cs="Times New Roman"/>
        </w:rPr>
        <w:t>Abcarian</w:t>
      </w:r>
      <w:proofErr w:type="spellEnd"/>
      <w:r w:rsidR="00D037F5" w:rsidRPr="00D037F5">
        <w:rPr>
          <w:rFonts w:ascii="Century Gothic" w:hAnsi="Century Gothic" w:cs="Times New Roman"/>
        </w:rPr>
        <w:t>, “Letting It All Hang Out.” Los Angeles Times, July 4, 2006.</w:t>
      </w:r>
    </w:p>
    <w:p w14:paraId="713D6145" w14:textId="77777777" w:rsidR="00AE7B64" w:rsidRPr="00D037F5" w:rsidRDefault="00120816" w:rsidP="00D037F5">
      <w:pPr>
        <w:spacing w:after="120"/>
        <w:rPr>
          <w:rFonts w:ascii="Century Gothic" w:hAnsi="Century Gothic" w:cs="Times New Roman"/>
        </w:rPr>
      </w:pPr>
      <w:hyperlink r:id="rId19" w:anchor="_ednref" w:history="1">
        <w:r w:rsidR="00D037F5" w:rsidRPr="00D037F5">
          <w:rPr>
            <w:rFonts w:ascii="Century Gothic" w:hAnsi="Century Gothic" w:cs="Times New Roman"/>
            <w:color w:val="0000FF"/>
            <w:u w:val="single"/>
          </w:rPr>
          <w:t>[vi]</w:t>
        </w:r>
      </w:hyperlink>
      <w:r w:rsidR="00D037F5" w:rsidRPr="00D037F5">
        <w:rPr>
          <w:rFonts w:ascii="Century Gothic" w:hAnsi="Century Gothic" w:cs="Times New Roman"/>
        </w:rPr>
        <w:t xml:space="preserve"> A broad approach to universal design is taken in William </w:t>
      </w:r>
      <w:proofErr w:type="spellStart"/>
      <w:r w:rsidR="00D037F5" w:rsidRPr="00D037F5">
        <w:rPr>
          <w:rFonts w:ascii="Century Gothic" w:hAnsi="Century Gothic" w:cs="Times New Roman"/>
        </w:rPr>
        <w:t>Lidwell</w:t>
      </w:r>
      <w:proofErr w:type="spellEnd"/>
      <w:r w:rsidR="00D037F5" w:rsidRPr="00D037F5">
        <w:rPr>
          <w:rFonts w:ascii="Century Gothic" w:hAnsi="Century Gothic" w:cs="Times New Roman"/>
        </w:rPr>
        <w:t xml:space="preserve">, Kristina Holden, and Jill Butler, </w:t>
      </w:r>
      <w:r w:rsidR="00D037F5" w:rsidRPr="00D037F5">
        <w:rPr>
          <w:rFonts w:ascii="Century Gothic" w:hAnsi="Century Gothic" w:cs="Times New Roman"/>
          <w:i/>
          <w:iCs/>
        </w:rPr>
        <w:t>Universal Principles of Design</w:t>
      </w:r>
      <w:r w:rsidR="00D037F5" w:rsidRPr="00D037F5">
        <w:rPr>
          <w:rFonts w:ascii="Century Gothic" w:hAnsi="Century Gothic" w:cs="Times New Roman"/>
        </w:rPr>
        <w:t xml:space="preserve"> (Gloucester, Mass.: Rockport Publishers, 2003).</w:t>
      </w:r>
    </w:p>
    <w:sectPr w:rsidR="00AE7B64" w:rsidRPr="00D037F5" w:rsidSect="00D037F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udent" w:date="2015-09-16T10:32:00Z" w:initials="S">
    <w:p w14:paraId="02C1459C" w14:textId="77777777" w:rsidR="00EA1BD7" w:rsidRDefault="00EA1BD7">
      <w:pPr>
        <w:pStyle w:val="CommentText"/>
      </w:pPr>
      <w:r>
        <w:rPr>
          <w:rStyle w:val="CommentReference"/>
        </w:rPr>
        <w:annotationRef/>
      </w:r>
      <w:r>
        <w:t>Opposite of universal design</w:t>
      </w:r>
    </w:p>
  </w:comment>
  <w:comment w:id="1" w:author="Student" w:date="2015-09-16T10:26:00Z" w:initials="S">
    <w:p w14:paraId="4B98284C" w14:textId="77777777" w:rsidR="00EA1BD7" w:rsidRDefault="00EA1BD7">
      <w:pPr>
        <w:pStyle w:val="CommentText"/>
      </w:pPr>
      <w:r>
        <w:rPr>
          <w:rStyle w:val="CommentReference"/>
        </w:rPr>
        <w:annotationRef/>
      </w:r>
      <w:r w:rsidRPr="00EA1BD7">
        <w:t>http://www.merriam-webster.com/dictionary/disillusion</w:t>
      </w:r>
    </w:p>
  </w:comment>
  <w:comment w:id="2" w:author="Student" w:date="2015-09-16T10:26:00Z" w:initials="S">
    <w:p w14:paraId="274EC60C" w14:textId="77777777" w:rsidR="00EA1BD7" w:rsidRDefault="00EA1BD7">
      <w:pPr>
        <w:pStyle w:val="CommentText"/>
      </w:pPr>
      <w:r>
        <w:rPr>
          <w:rStyle w:val="CommentReference"/>
        </w:rPr>
        <w:annotationRef/>
      </w:r>
      <w:r w:rsidRPr="00EA1BD7">
        <w:t>http://www.merriam-webster.com/dictionary/disillusion</w:t>
      </w:r>
    </w:p>
  </w:comment>
  <w:comment w:id="3" w:author="Student" w:date="2015-09-16T10:26:00Z" w:initials="S">
    <w:p w14:paraId="14106F69" w14:textId="77777777" w:rsidR="00EA1BD7" w:rsidRDefault="00EA1BD7">
      <w:pPr>
        <w:pStyle w:val="CommentText"/>
      </w:pPr>
      <w:r>
        <w:rPr>
          <w:rStyle w:val="CommentReference"/>
        </w:rPr>
        <w:annotationRef/>
      </w:r>
    </w:p>
  </w:comment>
  <w:comment w:id="4" w:author="Student" w:date="2015-09-16T10:30:00Z" w:initials="S">
    <w:p w14:paraId="558ED9B2" w14:textId="77777777" w:rsidR="00EA1BD7" w:rsidRDefault="00EA1BD7">
      <w:pPr>
        <w:pStyle w:val="CommentText"/>
      </w:pPr>
      <w:r>
        <w:rPr>
          <w:rStyle w:val="CommentReference"/>
        </w:rPr>
        <w:annotationRef/>
      </w:r>
      <w:proofErr w:type="gramStart"/>
      <w:r>
        <w:t>our</w:t>
      </w:r>
      <w:proofErr w:type="gramEnd"/>
      <w:r>
        <w:t xml:space="preserve"> guess: something united, known by everyone, used by everyone, popular</w:t>
      </w:r>
    </w:p>
  </w:comment>
  <w:comment w:id="5" w:author="Student" w:date="2015-09-16T10:31:00Z" w:initials="S">
    <w:p w14:paraId="64427799" w14:textId="77777777" w:rsidR="00EA1BD7" w:rsidRDefault="00EA1BD7">
      <w:pPr>
        <w:pStyle w:val="CommentText"/>
        <w:rPr>
          <w:rStyle w:val="CommentReference"/>
        </w:rPr>
      </w:pPr>
      <w:r>
        <w:rPr>
          <w:rStyle w:val="CommentReference"/>
        </w:rPr>
        <w:annotationRef/>
      </w:r>
      <w:proofErr w:type="gramStart"/>
      <w:r>
        <w:rPr>
          <w:rStyle w:val="CommentReference"/>
        </w:rPr>
        <w:t>our</w:t>
      </w:r>
      <w:proofErr w:type="gramEnd"/>
      <w:r>
        <w:rPr>
          <w:rStyle w:val="CommentReference"/>
        </w:rPr>
        <w:t xml:space="preserve"> guess: understood, used by everyone, popular?</w:t>
      </w:r>
    </w:p>
    <w:p w14:paraId="64F32509" w14:textId="77777777" w:rsidR="00EA1BD7" w:rsidRDefault="00EA1BD7">
      <w:pPr>
        <w:pStyle w:val="CommentText"/>
      </w:pPr>
    </w:p>
  </w:comment>
  <w:comment w:id="6" w:author="Student" w:date="2015-09-16T10:31:00Z" w:initials="S">
    <w:p w14:paraId="5EE0BF28" w14:textId="77777777" w:rsidR="00EA1BD7" w:rsidRDefault="00EA1BD7">
      <w:pPr>
        <w:pStyle w:val="CommentText"/>
      </w:pPr>
      <w:r>
        <w:rPr>
          <w:rStyle w:val="CommentReference"/>
        </w:rPr>
        <w:annotationRef/>
      </w:r>
    </w:p>
  </w:comment>
  <w:comment w:id="7" w:author="Student" w:date="2015-09-16T10:31:00Z" w:initials="S">
    <w:p w14:paraId="6F124928" w14:textId="77777777" w:rsidR="00EA1BD7" w:rsidRDefault="00EA1BD7">
      <w:pPr>
        <w:pStyle w:val="CommentText"/>
      </w:pPr>
      <w:r>
        <w:rPr>
          <w:rStyle w:val="CommentReference"/>
        </w:rPr>
        <w:annotationRef/>
      </w:r>
    </w:p>
  </w:comment>
  <w:comment w:id="8" w:author="Student" w:date="2015-09-16T10:34:00Z" w:initials="S">
    <w:p w14:paraId="2B8D6564" w14:textId="77777777" w:rsidR="004A0B93" w:rsidRDefault="004A0B93">
      <w:pPr>
        <w:pStyle w:val="CommentText"/>
      </w:pPr>
      <w:r>
        <w:rPr>
          <w:rStyle w:val="CommentReference"/>
        </w:rPr>
        <w:annotationRef/>
      </w:r>
      <w:r w:rsidRPr="004A0B93">
        <w:t>http://www.merriam-webster.com/dictionary/modularity</w:t>
      </w:r>
    </w:p>
  </w:comment>
  <w:comment w:id="9" w:author="Student" w:date="2015-09-21T11:00:00Z" w:initials="S">
    <w:p w14:paraId="4A422A24" w14:textId="234165D0" w:rsidR="00721A56" w:rsidRDefault="00721A56">
      <w:pPr>
        <w:pStyle w:val="CommentText"/>
      </w:pPr>
      <w:r>
        <w:rPr>
          <w:rStyle w:val="CommentReference"/>
        </w:rPr>
        <w:annotationRef/>
      </w:r>
      <w:r>
        <w:t>McCoy challenged designers to practice a post-modern audience-centered design as opposed to a modernist universal design.</w:t>
      </w:r>
    </w:p>
  </w:comment>
  <w:comment w:id="11" w:author="Student" w:date="2015-09-16T10:43:00Z" w:initials="S">
    <w:p w14:paraId="6A77697E" w14:textId="77777777" w:rsidR="004A0B93" w:rsidRDefault="004A0B93">
      <w:pPr>
        <w:pStyle w:val="CommentText"/>
      </w:pPr>
      <w:r>
        <w:rPr>
          <w:rStyle w:val="CommentReference"/>
        </w:rPr>
        <w:annotationRef/>
      </w:r>
      <w:proofErr w:type="gramStart"/>
      <w:r>
        <w:t>but</w:t>
      </w:r>
      <w:proofErr w:type="gramEnd"/>
      <w:r>
        <w:t xml:space="preserve"> these people mentioned are trying to find universal solutions in their specific beliefs</w:t>
      </w:r>
    </w:p>
  </w:comment>
  <w:comment w:id="10" w:author="Student" w:date="2015-09-16T10:41:00Z" w:initials="S">
    <w:p w14:paraId="02170183" w14:textId="77777777" w:rsidR="004A0B93" w:rsidRDefault="004A0B93">
      <w:pPr>
        <w:pStyle w:val="CommentText"/>
      </w:pPr>
      <w:r>
        <w:rPr>
          <w:rStyle w:val="CommentReference"/>
        </w:rPr>
        <w:annotationRef/>
      </w:r>
      <w:proofErr w:type="gramStart"/>
      <w:r>
        <w:t>differences</w:t>
      </w:r>
      <w:proofErr w:type="gramEnd"/>
      <w:r>
        <w:t xml:space="preserve"> keep us apart</w:t>
      </w:r>
    </w:p>
  </w:comment>
  <w:comment w:id="12" w:author="Student" w:date="2015-09-21T11:03:00Z" w:initials="S">
    <w:p w14:paraId="4FBF2D42" w14:textId="41F108A2" w:rsidR="00721A56" w:rsidRDefault="00721A56">
      <w:pPr>
        <w:pStyle w:val="CommentText"/>
      </w:pPr>
      <w:r>
        <w:rPr>
          <w:rStyle w:val="CommentReference"/>
        </w:rPr>
        <w:annotationRef/>
      </w:r>
      <w:proofErr w:type="gramStart"/>
      <w:r>
        <w:t>counterargument</w:t>
      </w:r>
      <w:proofErr w:type="gramEnd"/>
      <w:r>
        <w:t xml:space="preserve"> to the first paragraph: these people see value in pursuing universal design for the sake of seeing our commonality.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C1459C" w15:done="0"/>
  <w15:commentEx w15:paraId="4B98284C" w15:done="0"/>
  <w15:commentEx w15:paraId="274EC60C" w15:done="0"/>
  <w15:commentEx w15:paraId="14106F69" w15:paraIdParent="274EC60C" w15:done="0"/>
  <w15:commentEx w15:paraId="558ED9B2" w15:done="0"/>
  <w15:commentEx w15:paraId="64F32509" w15:done="0"/>
  <w15:commentEx w15:paraId="5EE0BF28" w15:paraIdParent="64F32509" w15:done="0"/>
  <w15:commentEx w15:paraId="6F124928" w15:paraIdParent="64F32509" w15:done="0"/>
  <w15:commentEx w15:paraId="2B8D6564" w15:done="0"/>
  <w15:commentEx w15:paraId="4A422A24" w15:done="0"/>
  <w15:commentEx w15:paraId="6A77697E" w15:done="0"/>
  <w15:commentEx w15:paraId="02170183" w15:done="0"/>
  <w15:commentEx w15:paraId="4FBF2D4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udent">
    <w15:presenceInfo w15:providerId="AD" w15:userId="S-1-5-21-2847350502-2986409175-3241821752-1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F5"/>
    <w:rsid w:val="00074A3C"/>
    <w:rsid w:val="001077E8"/>
    <w:rsid w:val="00120816"/>
    <w:rsid w:val="002C1F6B"/>
    <w:rsid w:val="004A0B93"/>
    <w:rsid w:val="00721A56"/>
    <w:rsid w:val="00AE7B64"/>
    <w:rsid w:val="00CD02F8"/>
    <w:rsid w:val="00D037F5"/>
    <w:rsid w:val="00EA1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659EE8"/>
  <w14:defaultImageDpi w14:val="300"/>
  <w15:docId w15:val="{55E346D0-26F8-4D3D-A7D9-6D167BA9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037F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37F5"/>
    <w:rPr>
      <w:rFonts w:ascii="Times" w:hAnsi="Times"/>
      <w:b/>
      <w:bCs/>
      <w:sz w:val="36"/>
      <w:szCs w:val="36"/>
    </w:rPr>
  </w:style>
  <w:style w:type="paragraph" w:styleId="NormalWeb">
    <w:name w:val="Normal (Web)"/>
    <w:basedOn w:val="Normal"/>
    <w:uiPriority w:val="99"/>
    <w:semiHidden/>
    <w:unhideWhenUsed/>
    <w:rsid w:val="00D037F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037F5"/>
    <w:rPr>
      <w:color w:val="0000FF"/>
      <w:u w:val="single"/>
    </w:rPr>
  </w:style>
  <w:style w:type="character" w:styleId="Emphasis">
    <w:name w:val="Emphasis"/>
    <w:basedOn w:val="DefaultParagraphFont"/>
    <w:uiPriority w:val="20"/>
    <w:qFormat/>
    <w:rsid w:val="00D037F5"/>
    <w:rPr>
      <w:i/>
      <w:iCs/>
    </w:rPr>
  </w:style>
  <w:style w:type="paragraph" w:styleId="BalloonText">
    <w:name w:val="Balloon Text"/>
    <w:basedOn w:val="Normal"/>
    <w:link w:val="BalloonTextChar"/>
    <w:uiPriority w:val="99"/>
    <w:semiHidden/>
    <w:unhideWhenUsed/>
    <w:rsid w:val="00CD02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2F8"/>
    <w:rPr>
      <w:rFonts w:ascii="Segoe UI" w:hAnsi="Segoe UI" w:cs="Segoe UI"/>
      <w:sz w:val="18"/>
      <w:szCs w:val="18"/>
    </w:rPr>
  </w:style>
  <w:style w:type="character" w:styleId="CommentReference">
    <w:name w:val="annotation reference"/>
    <w:basedOn w:val="DefaultParagraphFont"/>
    <w:uiPriority w:val="99"/>
    <w:semiHidden/>
    <w:unhideWhenUsed/>
    <w:rsid w:val="00EA1BD7"/>
    <w:rPr>
      <w:sz w:val="16"/>
      <w:szCs w:val="16"/>
    </w:rPr>
  </w:style>
  <w:style w:type="paragraph" w:styleId="CommentText">
    <w:name w:val="annotation text"/>
    <w:basedOn w:val="Normal"/>
    <w:link w:val="CommentTextChar"/>
    <w:uiPriority w:val="99"/>
    <w:semiHidden/>
    <w:unhideWhenUsed/>
    <w:rsid w:val="00EA1BD7"/>
    <w:rPr>
      <w:sz w:val="20"/>
      <w:szCs w:val="20"/>
    </w:rPr>
  </w:style>
  <w:style w:type="character" w:customStyle="1" w:styleId="CommentTextChar">
    <w:name w:val="Comment Text Char"/>
    <w:basedOn w:val="DefaultParagraphFont"/>
    <w:link w:val="CommentText"/>
    <w:uiPriority w:val="99"/>
    <w:semiHidden/>
    <w:rsid w:val="00EA1BD7"/>
    <w:rPr>
      <w:sz w:val="20"/>
      <w:szCs w:val="20"/>
    </w:rPr>
  </w:style>
  <w:style w:type="paragraph" w:styleId="CommentSubject">
    <w:name w:val="annotation subject"/>
    <w:basedOn w:val="CommentText"/>
    <w:next w:val="CommentText"/>
    <w:link w:val="CommentSubjectChar"/>
    <w:uiPriority w:val="99"/>
    <w:semiHidden/>
    <w:unhideWhenUsed/>
    <w:rsid w:val="00EA1BD7"/>
    <w:rPr>
      <w:b/>
      <w:bCs/>
    </w:rPr>
  </w:style>
  <w:style w:type="character" w:customStyle="1" w:styleId="CommentSubjectChar">
    <w:name w:val="Comment Subject Char"/>
    <w:basedOn w:val="CommentTextChar"/>
    <w:link w:val="CommentSubject"/>
    <w:uiPriority w:val="99"/>
    <w:semiHidden/>
    <w:rsid w:val="00EA1B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255945">
      <w:bodyDiv w:val="1"/>
      <w:marLeft w:val="0"/>
      <w:marRight w:val="0"/>
      <w:marTop w:val="0"/>
      <w:marBottom w:val="0"/>
      <w:divBdr>
        <w:top w:val="none" w:sz="0" w:space="0" w:color="auto"/>
        <w:left w:val="none" w:sz="0" w:space="0" w:color="auto"/>
        <w:bottom w:val="none" w:sz="0" w:space="0" w:color="auto"/>
        <w:right w:val="none" w:sz="0" w:space="0" w:color="auto"/>
      </w:divBdr>
      <w:divsChild>
        <w:div w:id="621038371">
          <w:marLeft w:val="0"/>
          <w:marRight w:val="0"/>
          <w:marTop w:val="0"/>
          <w:marBottom w:val="0"/>
          <w:divBdr>
            <w:top w:val="none" w:sz="0" w:space="0" w:color="auto"/>
            <w:left w:val="none" w:sz="0" w:space="0" w:color="auto"/>
            <w:bottom w:val="none" w:sz="0" w:space="0" w:color="auto"/>
            <w:right w:val="none" w:sz="0" w:space="0" w:color="auto"/>
          </w:divBdr>
          <w:divsChild>
            <w:div w:id="2114207272">
              <w:marLeft w:val="0"/>
              <w:marRight w:val="0"/>
              <w:marTop w:val="0"/>
              <w:marBottom w:val="0"/>
              <w:divBdr>
                <w:top w:val="none" w:sz="0" w:space="0" w:color="auto"/>
                <w:left w:val="none" w:sz="0" w:space="0" w:color="auto"/>
                <w:bottom w:val="none" w:sz="0" w:space="0" w:color="auto"/>
                <w:right w:val="none" w:sz="0" w:space="0" w:color="auto"/>
              </w:divBdr>
              <w:divsChild>
                <w:div w:id="985008022">
                  <w:marLeft w:val="0"/>
                  <w:marRight w:val="0"/>
                  <w:marTop w:val="0"/>
                  <w:marBottom w:val="0"/>
                  <w:divBdr>
                    <w:top w:val="none" w:sz="0" w:space="0" w:color="auto"/>
                    <w:left w:val="none" w:sz="0" w:space="0" w:color="auto"/>
                    <w:bottom w:val="none" w:sz="0" w:space="0" w:color="auto"/>
                    <w:right w:val="none" w:sz="0" w:space="0" w:color="auto"/>
                  </w:divBdr>
                  <w:divsChild>
                    <w:div w:id="636299805">
                      <w:marLeft w:val="0"/>
                      <w:marRight w:val="0"/>
                      <w:marTop w:val="0"/>
                      <w:marBottom w:val="0"/>
                      <w:divBdr>
                        <w:top w:val="none" w:sz="0" w:space="0" w:color="auto"/>
                        <w:left w:val="none" w:sz="0" w:space="0" w:color="auto"/>
                        <w:bottom w:val="none" w:sz="0" w:space="0" w:color="auto"/>
                        <w:right w:val="none" w:sz="0" w:space="0" w:color="auto"/>
                      </w:divBdr>
                    </w:div>
                    <w:div w:id="1056314983">
                      <w:marLeft w:val="0"/>
                      <w:marRight w:val="0"/>
                      <w:marTop w:val="0"/>
                      <w:marBottom w:val="0"/>
                      <w:divBdr>
                        <w:top w:val="none" w:sz="0" w:space="0" w:color="auto"/>
                        <w:left w:val="none" w:sz="0" w:space="0" w:color="auto"/>
                        <w:bottom w:val="none" w:sz="0" w:space="0" w:color="auto"/>
                        <w:right w:val="none" w:sz="0" w:space="0" w:color="auto"/>
                      </w:divBdr>
                    </w:div>
                    <w:div w:id="1900238261">
                      <w:marLeft w:val="0"/>
                      <w:marRight w:val="0"/>
                      <w:marTop w:val="0"/>
                      <w:marBottom w:val="0"/>
                      <w:divBdr>
                        <w:top w:val="none" w:sz="0" w:space="0" w:color="auto"/>
                        <w:left w:val="none" w:sz="0" w:space="0" w:color="auto"/>
                        <w:bottom w:val="none" w:sz="0" w:space="0" w:color="auto"/>
                        <w:right w:val="none" w:sz="0" w:space="0" w:color="auto"/>
                      </w:divBdr>
                    </w:div>
                    <w:div w:id="570778687">
                      <w:marLeft w:val="0"/>
                      <w:marRight w:val="0"/>
                      <w:marTop w:val="0"/>
                      <w:marBottom w:val="0"/>
                      <w:divBdr>
                        <w:top w:val="none" w:sz="0" w:space="0" w:color="auto"/>
                        <w:left w:val="none" w:sz="0" w:space="0" w:color="auto"/>
                        <w:bottom w:val="none" w:sz="0" w:space="0" w:color="auto"/>
                        <w:right w:val="none" w:sz="0" w:space="0" w:color="auto"/>
                      </w:divBdr>
                    </w:div>
                    <w:div w:id="1559781893">
                      <w:marLeft w:val="0"/>
                      <w:marRight w:val="0"/>
                      <w:marTop w:val="0"/>
                      <w:marBottom w:val="0"/>
                      <w:divBdr>
                        <w:top w:val="none" w:sz="0" w:space="0" w:color="auto"/>
                        <w:left w:val="none" w:sz="0" w:space="0" w:color="auto"/>
                        <w:bottom w:val="none" w:sz="0" w:space="0" w:color="auto"/>
                        <w:right w:val="none" w:sz="0" w:space="0" w:color="auto"/>
                      </w:divBdr>
                    </w:div>
                    <w:div w:id="837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lupton.com/essays/" TargetMode="External"/><Relationship Id="rId13" Type="http://schemas.openxmlformats.org/officeDocument/2006/relationships/hyperlink" Target="http://elupton.com/essays/" TargetMode="External"/><Relationship Id="rId18" Type="http://schemas.openxmlformats.org/officeDocument/2006/relationships/hyperlink" Target="http://elupton.com/essays/" TargetMode="External"/><Relationship Id="rId3" Type="http://schemas.openxmlformats.org/officeDocument/2006/relationships/webSettings" Target="webSettings.xml"/><Relationship Id="rId21" Type="http://schemas.microsoft.com/office/2011/relationships/people" Target="people.xml"/><Relationship Id="rId7" Type="http://schemas.openxmlformats.org/officeDocument/2006/relationships/hyperlink" Target="http://elupton.com/essays/" TargetMode="External"/><Relationship Id="rId12" Type="http://schemas.openxmlformats.org/officeDocument/2006/relationships/hyperlink" Target="http://elupton.com/essays/" TargetMode="External"/><Relationship Id="rId17" Type="http://schemas.openxmlformats.org/officeDocument/2006/relationships/hyperlink" Target="http://www.businessweek.com/magazine/content/05_46/b3959001.htm" TargetMode="External"/><Relationship Id="rId2" Type="http://schemas.openxmlformats.org/officeDocument/2006/relationships/settings" Target="settings.xml"/><Relationship Id="rId16" Type="http://schemas.openxmlformats.org/officeDocument/2006/relationships/hyperlink" Target="http://elupton.com/essays/" TargetMode="External"/><Relationship Id="rId20" Type="http://schemas.openxmlformats.org/officeDocument/2006/relationships/fontTable" Target="fontTable.xml"/><Relationship Id="rId1" Type="http://schemas.openxmlformats.org/officeDocument/2006/relationships/styles" Target="styles.xml"/><Relationship Id="rId6" Type="http://schemas.microsoft.com/office/2011/relationships/commentsExtended" Target="commentsExtended.xml"/><Relationship Id="rId11" Type="http://schemas.openxmlformats.org/officeDocument/2006/relationships/hyperlink" Target="http://elupton.com/essays/" TargetMode="External"/><Relationship Id="rId5" Type="http://schemas.openxmlformats.org/officeDocument/2006/relationships/comments" Target="comments.xml"/><Relationship Id="rId15" Type="http://schemas.openxmlformats.org/officeDocument/2006/relationships/hyperlink" Target="http://elupton.com/essays/" TargetMode="External"/><Relationship Id="rId10" Type="http://schemas.openxmlformats.org/officeDocument/2006/relationships/hyperlink" Target="http://elupton.com/essays/" TargetMode="External"/><Relationship Id="rId19" Type="http://schemas.openxmlformats.org/officeDocument/2006/relationships/hyperlink" Target="http://elupton.com/essays/" TargetMode="External"/><Relationship Id="rId4" Type="http://schemas.openxmlformats.org/officeDocument/2006/relationships/hyperlink" Target="http://elupton.com/2011/12/univers-strikes-back/" TargetMode="External"/><Relationship Id="rId9" Type="http://schemas.openxmlformats.org/officeDocument/2006/relationships/hyperlink" Target="http://elupton.com/essays/" TargetMode="External"/><Relationship Id="rId14" Type="http://schemas.openxmlformats.org/officeDocument/2006/relationships/hyperlink" Target="http://elupton.com/essay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1787</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Student</cp:lastModifiedBy>
  <cp:revision>2</cp:revision>
  <cp:lastPrinted>2015-09-16T14:11:00Z</cp:lastPrinted>
  <dcterms:created xsi:type="dcterms:W3CDTF">2015-09-21T15:24:00Z</dcterms:created>
  <dcterms:modified xsi:type="dcterms:W3CDTF">2015-09-21T15:24:00Z</dcterms:modified>
</cp:coreProperties>
</file>