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9" w:lineRule="auto" w:before="81"/>
        <w:ind w:right="7964"/>
      </w:pPr>
      <w:r>
        <w:rPr>
          <w:w w:val="105"/>
        </w:rPr>
        <w:t>Full Name Translation</w:t>
      </w:r>
      <w:r>
        <w:rPr>
          <w:spacing w:val="-14"/>
          <w:w w:val="105"/>
        </w:rPr>
        <w:t> </w:t>
      </w:r>
      <w:r>
        <w:rPr>
          <w:w w:val="105"/>
        </w:rPr>
        <w:t>Essay</w:t>
      </w:r>
    </w:p>
    <w:p>
      <w:pPr>
        <w:pStyle w:val="BodyText"/>
        <w:spacing w:line="249" w:lineRule="auto" w:before="7"/>
        <w:ind w:right="6693"/>
      </w:pPr>
      <w:r>
        <w:rPr>
          <w:w w:val="105"/>
        </w:rPr>
        <w:t>Course</w:t>
      </w:r>
      <w:r>
        <w:rPr>
          <w:spacing w:val="-13"/>
          <w:w w:val="105"/>
        </w:rPr>
        <w:t> </w:t>
      </w:r>
      <w:r>
        <w:rPr>
          <w:w w:val="105"/>
        </w:rPr>
        <w:t>2400</w:t>
      </w:r>
      <w:r>
        <w:rPr>
          <w:spacing w:val="-13"/>
          <w:w w:val="105"/>
        </w:rPr>
        <w:t> </w:t>
      </w:r>
      <w:r>
        <w:rPr>
          <w:w w:val="105"/>
        </w:rPr>
        <w:t>(Prof.</w:t>
      </w:r>
      <w:r>
        <w:rPr>
          <w:spacing w:val="-13"/>
          <w:w w:val="105"/>
        </w:rPr>
        <w:t> </w:t>
      </w:r>
      <w:r>
        <w:rPr>
          <w:w w:val="105"/>
        </w:rPr>
        <w:t>Scanlan) April ??, 2021</w:t>
      </w:r>
    </w:p>
    <w:p>
      <w:pPr>
        <w:pStyle w:val="BodyText"/>
        <w:spacing w:before="11"/>
        <w:ind w:left="0"/>
        <w:rPr>
          <w:sz w:val="12"/>
        </w:rPr>
      </w:pPr>
    </w:p>
    <w:p>
      <w:pPr>
        <w:pStyle w:val="BodyText"/>
        <w:spacing w:before="97"/>
        <w:ind w:left="2894" w:right="2893"/>
        <w:jc w:val="center"/>
      </w:pPr>
      <w:r>
        <w:rPr/>
        <w:t>Translating</w:t>
      </w:r>
      <w:r>
        <w:rPr>
          <w:spacing w:val="38"/>
        </w:rPr>
        <w:t> </w:t>
      </w:r>
      <w:r>
        <w:rPr/>
        <w:t>Woolrich,</w:t>
      </w:r>
      <w:r>
        <w:rPr>
          <w:spacing w:val="38"/>
        </w:rPr>
        <w:t> </w:t>
      </w:r>
      <w:r>
        <w:rPr/>
        <w:t>Envisioning</w:t>
      </w:r>
      <w:r>
        <w:rPr>
          <w:spacing w:val="40"/>
        </w:rPr>
        <w:t> </w:t>
      </w:r>
      <w:r>
        <w:rPr>
          <w:spacing w:val="-2"/>
        </w:rPr>
        <w:t>Hitchcock</w:t>
      </w:r>
    </w:p>
    <w:p>
      <w:pPr>
        <w:pStyle w:val="BodyText"/>
        <w:ind w:left="0"/>
        <w:rPr>
          <w:sz w:val="22"/>
        </w:rPr>
      </w:pPr>
    </w:p>
    <w:p>
      <w:pPr>
        <w:pStyle w:val="BodyText"/>
        <w:spacing w:before="1"/>
        <w:ind w:left="0"/>
        <w:rPr>
          <w:sz w:val="31"/>
        </w:rPr>
      </w:pPr>
    </w:p>
    <w:p>
      <w:pPr>
        <w:pStyle w:val="BodyText"/>
        <w:spacing w:line="504" w:lineRule="auto"/>
        <w:ind w:right="152" w:firstLine="720"/>
      </w:pPr>
      <w:r>
        <w:rPr>
          <w:w w:val="105"/>
        </w:rPr>
        <w:t>“It Had to Be Murder,” by Cornell Woolrich, sits us down into the wheelchair of Hal Jeffries as we observe the little world behind the buildings of characters aplenty, one of whom, Hal begins to suspect, you guessed it, has committed murder. This 1942 story brings us along on Hal’s stationary quest to expose his backyard neighbor, using his attendant (Sam), a frenemy of a detective (Boyne) and a pair of binoculars, like one would expect from any amateur sleuth. Hitchcock’s 1954 adaptation, </w:t>
      </w:r>
      <w:r>
        <w:rPr>
          <w:i/>
          <w:w w:val="105"/>
        </w:rPr>
        <w:t>Rear Window</w:t>
      </w:r>
      <w:r>
        <w:rPr>
          <w:w w:val="105"/>
        </w:rPr>
        <w:t>, takes what Woolrich has spun as an introspective, first person experience and reweaves it into a bigger tapestry consisting of elements not present in the text. While Woolrich wants us to feel what Jeffries feels, Hitchcock, in his traditional translation, paints a more vibrant picture of different perspectives, giving a larger, more complex shape and dimension to the original story. This will be shown by comparing the narration Woolrich employs and the narrative in “Rear Window,” the sounds and lighting used by Hitchcock versus the descriptors in the text,</w:t>
      </w:r>
      <w:r>
        <w:rPr>
          <w:spacing w:val="-3"/>
          <w:w w:val="105"/>
        </w:rPr>
        <w:t> </w:t>
      </w:r>
      <w:r>
        <w:rPr>
          <w:w w:val="105"/>
        </w:rPr>
        <w:t>and</w:t>
      </w:r>
      <w:r>
        <w:rPr>
          <w:spacing w:val="-2"/>
          <w:w w:val="105"/>
        </w:rPr>
        <w:t> </w:t>
      </w:r>
      <w:r>
        <w:rPr>
          <w:w w:val="105"/>
        </w:rPr>
        <w:t>the</w:t>
      </w:r>
      <w:r>
        <w:rPr>
          <w:spacing w:val="-2"/>
          <w:w w:val="105"/>
        </w:rPr>
        <w:t> </w:t>
      </w:r>
      <w:r>
        <w:rPr>
          <w:w w:val="105"/>
        </w:rPr>
        <w:t>characters’</w:t>
      </w:r>
      <w:r>
        <w:rPr>
          <w:spacing w:val="-3"/>
          <w:w w:val="105"/>
        </w:rPr>
        <w:t> </w:t>
      </w:r>
      <w:r>
        <w:rPr>
          <w:w w:val="105"/>
        </w:rPr>
        <w:t>motives</w:t>
      </w:r>
      <w:r>
        <w:rPr>
          <w:spacing w:val="-3"/>
          <w:w w:val="105"/>
        </w:rPr>
        <w:t> </w:t>
      </w:r>
      <w:r>
        <w:rPr>
          <w:w w:val="105"/>
        </w:rPr>
        <w:t>and</w:t>
      </w:r>
      <w:r>
        <w:rPr>
          <w:spacing w:val="-2"/>
          <w:w w:val="105"/>
        </w:rPr>
        <w:t> </w:t>
      </w:r>
      <w:r>
        <w:rPr>
          <w:w w:val="105"/>
        </w:rPr>
        <w:t>actions</w:t>
      </w:r>
      <w:r>
        <w:rPr>
          <w:spacing w:val="-3"/>
          <w:w w:val="105"/>
        </w:rPr>
        <w:t> </w:t>
      </w:r>
      <w:r>
        <w:rPr>
          <w:w w:val="105"/>
        </w:rPr>
        <w:t>in</w:t>
      </w:r>
      <w:r>
        <w:rPr>
          <w:spacing w:val="-2"/>
          <w:w w:val="105"/>
        </w:rPr>
        <w:t> </w:t>
      </w:r>
      <w:r>
        <w:rPr>
          <w:w w:val="105"/>
        </w:rPr>
        <w:t>both</w:t>
      </w:r>
      <w:r>
        <w:rPr>
          <w:spacing w:val="-2"/>
          <w:w w:val="105"/>
        </w:rPr>
        <w:t> </w:t>
      </w:r>
      <w:r>
        <w:rPr>
          <w:w w:val="105"/>
        </w:rPr>
        <w:t>compositions.</w:t>
      </w:r>
      <w:r>
        <w:rPr>
          <w:spacing w:val="-3"/>
          <w:w w:val="105"/>
        </w:rPr>
        <w:t> </w:t>
      </w:r>
      <w:r>
        <w:rPr>
          <w:w w:val="105"/>
        </w:rPr>
        <w:t>For</w:t>
      </w:r>
      <w:r>
        <w:rPr>
          <w:spacing w:val="-3"/>
          <w:w w:val="105"/>
        </w:rPr>
        <w:t> </w:t>
      </w:r>
      <w:r>
        <w:rPr>
          <w:w w:val="105"/>
        </w:rPr>
        <w:t>the</w:t>
      </w:r>
      <w:r>
        <w:rPr>
          <w:spacing w:val="-2"/>
          <w:w w:val="105"/>
        </w:rPr>
        <w:t> </w:t>
      </w:r>
      <w:r>
        <w:rPr>
          <w:w w:val="105"/>
        </w:rPr>
        <w:t>purpose</w:t>
      </w:r>
      <w:r>
        <w:rPr>
          <w:spacing w:val="-2"/>
          <w:w w:val="105"/>
        </w:rPr>
        <w:t> </w:t>
      </w:r>
      <w:r>
        <w:rPr>
          <w:w w:val="105"/>
        </w:rPr>
        <w:t>of</w:t>
      </w:r>
      <w:r>
        <w:rPr>
          <w:spacing w:val="-3"/>
          <w:w w:val="105"/>
        </w:rPr>
        <w:t> </w:t>
      </w:r>
      <w:r>
        <w:rPr>
          <w:w w:val="105"/>
        </w:rPr>
        <w:t>this</w:t>
      </w:r>
      <w:r>
        <w:rPr>
          <w:spacing w:val="-3"/>
          <w:w w:val="105"/>
        </w:rPr>
        <w:t> </w:t>
      </w:r>
      <w:r>
        <w:rPr>
          <w:w w:val="105"/>
        </w:rPr>
        <w:t>paper,</w:t>
      </w:r>
      <w:r>
        <w:rPr>
          <w:spacing w:val="-3"/>
          <w:w w:val="105"/>
        </w:rPr>
        <w:t> </w:t>
      </w:r>
      <w:r>
        <w:rPr>
          <w:w w:val="105"/>
        </w:rPr>
        <w:t>I</w:t>
      </w:r>
      <w:r>
        <w:rPr>
          <w:spacing w:val="-3"/>
          <w:w w:val="105"/>
        </w:rPr>
        <w:t> </w:t>
      </w:r>
      <w:r>
        <w:rPr>
          <w:w w:val="105"/>
        </w:rPr>
        <w:t>will</w:t>
      </w:r>
      <w:r>
        <w:rPr>
          <w:spacing w:val="-3"/>
          <w:w w:val="105"/>
        </w:rPr>
        <w:t> </w:t>
      </w:r>
      <w:r>
        <w:rPr>
          <w:w w:val="105"/>
        </w:rPr>
        <w:t>refer</w:t>
      </w:r>
      <w:r>
        <w:rPr>
          <w:spacing w:val="-3"/>
          <w:w w:val="105"/>
        </w:rPr>
        <w:t> </w:t>
      </w:r>
      <w:r>
        <w:rPr>
          <w:w w:val="105"/>
        </w:rPr>
        <w:t>to the main character in “It Had to be Murder” as Hal and the main character in “Rear Window” as Jeffries or </w:t>
      </w:r>
      <w:r>
        <w:rPr>
          <w:spacing w:val="-2"/>
          <w:w w:val="105"/>
        </w:rPr>
        <w:t>Jeff.</w:t>
      </w:r>
    </w:p>
    <w:p>
      <w:pPr>
        <w:pStyle w:val="BodyText"/>
        <w:spacing w:line="504" w:lineRule="auto" w:before="158"/>
        <w:ind w:right="99" w:firstLine="720"/>
      </w:pPr>
      <w:r>
        <w:rPr>
          <w:w w:val="105"/>
        </w:rPr>
        <w:t>Firstly, chronologically, the introduction to this tale varies greatly between the original literature and the on-screen rendition. Woolrich’s first paragraph focuses on the neighbors themselves, and more specifically what Hal’s perception of them was as he then goes on to describe some of the households in behavioral detail. He writes, “I didn’t know their names. I’d never heard their voices.” These first two sentences are translated very</w:t>
      </w:r>
      <w:r>
        <w:rPr>
          <w:spacing w:val="-2"/>
          <w:w w:val="105"/>
        </w:rPr>
        <w:t> </w:t>
      </w:r>
      <w:r>
        <w:rPr>
          <w:w w:val="105"/>
        </w:rPr>
        <w:t>differently</w:t>
      </w:r>
      <w:r>
        <w:rPr>
          <w:spacing w:val="-2"/>
          <w:w w:val="105"/>
        </w:rPr>
        <w:t> </w:t>
      </w:r>
      <w:r>
        <w:rPr>
          <w:w w:val="105"/>
        </w:rPr>
        <w:t>by</w:t>
      </w:r>
      <w:r>
        <w:rPr>
          <w:spacing w:val="-2"/>
          <w:w w:val="105"/>
        </w:rPr>
        <w:t> </w:t>
      </w:r>
      <w:r>
        <w:rPr>
          <w:w w:val="105"/>
        </w:rPr>
        <w:t>Hitchcock.</w:t>
      </w:r>
      <w:r>
        <w:rPr>
          <w:spacing w:val="-3"/>
          <w:w w:val="105"/>
        </w:rPr>
        <w:t> </w:t>
      </w:r>
      <w:r>
        <w:rPr>
          <w:w w:val="105"/>
        </w:rPr>
        <w:t>The</w:t>
      </w:r>
      <w:r>
        <w:rPr>
          <w:spacing w:val="-2"/>
          <w:w w:val="105"/>
        </w:rPr>
        <w:t> </w:t>
      </w:r>
      <w:r>
        <w:rPr>
          <w:w w:val="105"/>
        </w:rPr>
        <w:t>first</w:t>
      </w:r>
      <w:r>
        <w:rPr>
          <w:spacing w:val="-3"/>
          <w:w w:val="105"/>
        </w:rPr>
        <w:t> </w:t>
      </w:r>
      <w:r>
        <w:rPr>
          <w:w w:val="105"/>
        </w:rPr>
        <w:t>is</w:t>
      </w:r>
      <w:r>
        <w:rPr>
          <w:spacing w:val="-3"/>
          <w:w w:val="105"/>
        </w:rPr>
        <w:t> </w:t>
      </w:r>
      <w:r>
        <w:rPr>
          <w:w w:val="105"/>
        </w:rPr>
        <w:t>played</w:t>
      </w:r>
      <w:r>
        <w:rPr>
          <w:spacing w:val="-2"/>
          <w:w w:val="105"/>
        </w:rPr>
        <w:t> </w:t>
      </w:r>
      <w:r>
        <w:rPr>
          <w:w w:val="105"/>
        </w:rPr>
        <w:t>upon</w:t>
      </w:r>
      <w:r>
        <w:rPr>
          <w:spacing w:val="-2"/>
          <w:w w:val="105"/>
        </w:rPr>
        <w:t> </w:t>
      </w:r>
      <w:r>
        <w:rPr>
          <w:w w:val="105"/>
        </w:rPr>
        <w:t>in</w:t>
      </w:r>
      <w:r>
        <w:rPr>
          <w:spacing w:val="-2"/>
          <w:w w:val="105"/>
        </w:rPr>
        <w:t> </w:t>
      </w:r>
      <w:r>
        <w:rPr>
          <w:w w:val="105"/>
        </w:rPr>
        <w:t>the</w:t>
      </w:r>
      <w:r>
        <w:rPr>
          <w:spacing w:val="-2"/>
          <w:w w:val="105"/>
        </w:rPr>
        <w:t> </w:t>
      </w:r>
      <w:r>
        <w:rPr>
          <w:w w:val="105"/>
        </w:rPr>
        <w:t>film</w:t>
      </w:r>
      <w:r>
        <w:rPr>
          <w:spacing w:val="-1"/>
          <w:w w:val="105"/>
        </w:rPr>
        <w:t> </w:t>
      </w:r>
      <w:r>
        <w:rPr>
          <w:w w:val="105"/>
        </w:rPr>
        <w:t>by</w:t>
      </w:r>
      <w:r>
        <w:rPr>
          <w:spacing w:val="-2"/>
          <w:w w:val="105"/>
        </w:rPr>
        <w:t> </w:t>
      </w:r>
      <w:r>
        <w:rPr>
          <w:w w:val="105"/>
        </w:rPr>
        <w:t>the</w:t>
      </w:r>
      <w:r>
        <w:rPr>
          <w:spacing w:val="-3"/>
          <w:w w:val="105"/>
        </w:rPr>
        <w:t> </w:t>
      </w:r>
      <w:r>
        <w:rPr>
          <w:w w:val="105"/>
        </w:rPr>
        <w:t>nicknames</w:t>
      </w:r>
      <w:r>
        <w:rPr>
          <w:spacing w:val="-3"/>
          <w:w w:val="105"/>
        </w:rPr>
        <w:t> </w:t>
      </w:r>
      <w:r>
        <w:rPr>
          <w:w w:val="105"/>
        </w:rPr>
        <w:t>and</w:t>
      </w:r>
      <w:r>
        <w:rPr>
          <w:spacing w:val="-2"/>
          <w:w w:val="105"/>
        </w:rPr>
        <w:t> </w:t>
      </w:r>
      <w:r>
        <w:rPr>
          <w:w w:val="105"/>
        </w:rPr>
        <w:t>epithets</w:t>
      </w:r>
      <w:r>
        <w:rPr>
          <w:spacing w:val="-3"/>
          <w:w w:val="105"/>
        </w:rPr>
        <w:t> </w:t>
      </w:r>
      <w:r>
        <w:rPr>
          <w:w w:val="105"/>
        </w:rPr>
        <w:t>Jeffries,</w:t>
      </w:r>
      <w:r>
        <w:rPr>
          <w:spacing w:val="-3"/>
          <w:w w:val="105"/>
        </w:rPr>
        <w:t> </w:t>
      </w:r>
      <w:r>
        <w:rPr>
          <w:w w:val="105"/>
        </w:rPr>
        <w:t>Stella and</w:t>
      </w:r>
      <w:r>
        <w:rPr>
          <w:spacing w:val="-2"/>
          <w:w w:val="105"/>
        </w:rPr>
        <w:t> </w:t>
      </w:r>
      <w:r>
        <w:rPr>
          <w:w w:val="105"/>
        </w:rPr>
        <w:t>Lisa</w:t>
      </w:r>
      <w:r>
        <w:rPr>
          <w:spacing w:val="-2"/>
          <w:w w:val="105"/>
        </w:rPr>
        <w:t> </w:t>
      </w:r>
      <w:r>
        <w:rPr>
          <w:w w:val="105"/>
        </w:rPr>
        <w:t>have</w:t>
      </w:r>
      <w:r>
        <w:rPr>
          <w:spacing w:val="-2"/>
          <w:w w:val="105"/>
        </w:rPr>
        <w:t> </w:t>
      </w:r>
      <w:r>
        <w:rPr>
          <w:w w:val="105"/>
        </w:rPr>
        <w:t>for</w:t>
      </w:r>
      <w:r>
        <w:rPr>
          <w:spacing w:val="-3"/>
          <w:w w:val="105"/>
        </w:rPr>
        <w:t> </w:t>
      </w:r>
      <w:r>
        <w:rPr>
          <w:w w:val="105"/>
        </w:rPr>
        <w:t>the</w:t>
      </w:r>
      <w:r>
        <w:rPr>
          <w:spacing w:val="-2"/>
          <w:w w:val="105"/>
        </w:rPr>
        <w:t> </w:t>
      </w:r>
      <w:r>
        <w:rPr>
          <w:w w:val="105"/>
        </w:rPr>
        <w:t>rear-window</w:t>
      </w:r>
      <w:r>
        <w:rPr>
          <w:spacing w:val="-1"/>
          <w:w w:val="105"/>
        </w:rPr>
        <w:t> </w:t>
      </w:r>
      <w:r>
        <w:rPr>
          <w:w w:val="105"/>
        </w:rPr>
        <w:t>dwellers:</w:t>
      </w:r>
      <w:r>
        <w:rPr>
          <w:spacing w:val="-3"/>
          <w:w w:val="105"/>
        </w:rPr>
        <w:t> </w:t>
      </w:r>
      <w:r>
        <w:rPr>
          <w:w w:val="105"/>
        </w:rPr>
        <w:t>Miss</w:t>
      </w:r>
      <w:r>
        <w:rPr>
          <w:spacing w:val="-3"/>
          <w:w w:val="105"/>
        </w:rPr>
        <w:t> </w:t>
      </w:r>
      <w:r>
        <w:rPr>
          <w:w w:val="105"/>
        </w:rPr>
        <w:t>Torso,</w:t>
      </w:r>
      <w:r>
        <w:rPr>
          <w:spacing w:val="-3"/>
          <w:w w:val="105"/>
        </w:rPr>
        <w:t> </w:t>
      </w:r>
      <w:r>
        <w:rPr>
          <w:w w:val="105"/>
        </w:rPr>
        <w:t>Miss</w:t>
      </w:r>
      <w:r>
        <w:rPr>
          <w:spacing w:val="-3"/>
          <w:w w:val="105"/>
        </w:rPr>
        <w:t> </w:t>
      </w:r>
      <w:r>
        <w:rPr>
          <w:w w:val="105"/>
        </w:rPr>
        <w:t>Lonelyheart,</w:t>
      </w:r>
      <w:r>
        <w:rPr>
          <w:spacing w:val="-3"/>
          <w:w w:val="105"/>
        </w:rPr>
        <w:t> </w:t>
      </w:r>
      <w:r>
        <w:rPr>
          <w:w w:val="105"/>
        </w:rPr>
        <w:t>the</w:t>
      </w:r>
      <w:r>
        <w:rPr>
          <w:spacing w:val="-2"/>
          <w:w w:val="105"/>
        </w:rPr>
        <w:t> </w:t>
      </w:r>
      <w:r>
        <w:rPr>
          <w:w w:val="105"/>
        </w:rPr>
        <w:t>Salesman</w:t>
      </w:r>
      <w:r>
        <w:rPr>
          <w:spacing w:val="-2"/>
          <w:w w:val="105"/>
        </w:rPr>
        <w:t> </w:t>
      </w:r>
      <w:r>
        <w:rPr>
          <w:w w:val="105"/>
        </w:rPr>
        <w:t>and,</w:t>
      </w:r>
      <w:r>
        <w:rPr>
          <w:spacing w:val="-3"/>
          <w:w w:val="105"/>
        </w:rPr>
        <w:t> </w:t>
      </w:r>
      <w:r>
        <w:rPr>
          <w:w w:val="105"/>
        </w:rPr>
        <w:t>as</w:t>
      </w:r>
      <w:r>
        <w:rPr>
          <w:spacing w:val="-3"/>
          <w:w w:val="105"/>
        </w:rPr>
        <w:t> </w:t>
      </w:r>
      <w:r>
        <w:rPr>
          <w:w w:val="105"/>
        </w:rPr>
        <w:t>she’s</w:t>
      </w:r>
      <w:r>
        <w:rPr>
          <w:spacing w:val="-3"/>
          <w:w w:val="105"/>
        </w:rPr>
        <w:t> </w:t>
      </w:r>
      <w:r>
        <w:rPr>
          <w:w w:val="105"/>
        </w:rPr>
        <w:t>referred to in the script, Miss Hearing-Aid. The second gives us the idea that Hal is watching a sort of silent film through his bay window. Hitchcock did a wonderful thing by including the occasional quasi-audible dialogue</w:t>
      </w:r>
    </w:p>
    <w:p>
      <w:pPr>
        <w:spacing w:after="0" w:line="504" w:lineRule="auto"/>
        <w:sectPr>
          <w:type w:val="continuous"/>
          <w:pgSz w:w="12240" w:h="15840"/>
          <w:pgMar w:top="1380" w:bottom="280" w:left="1340" w:right="1320"/>
        </w:sectPr>
      </w:pPr>
    </w:p>
    <w:p>
      <w:pPr>
        <w:pStyle w:val="BodyText"/>
        <w:spacing w:line="506" w:lineRule="auto" w:before="81"/>
        <w:ind w:right="152"/>
      </w:pPr>
      <w:r>
        <w:rPr>
          <w:w w:val="105"/>
        </w:rPr>
        <w:t>between</w:t>
      </w:r>
      <w:r>
        <w:rPr>
          <w:spacing w:val="-2"/>
          <w:w w:val="105"/>
        </w:rPr>
        <w:t> </w:t>
      </w:r>
      <w:r>
        <w:rPr>
          <w:w w:val="105"/>
        </w:rPr>
        <w:t>neighbors.</w:t>
      </w:r>
      <w:r>
        <w:rPr>
          <w:spacing w:val="-3"/>
          <w:w w:val="105"/>
        </w:rPr>
        <w:t> </w:t>
      </w:r>
      <w:r>
        <w:rPr>
          <w:w w:val="105"/>
        </w:rPr>
        <w:t>This</w:t>
      </w:r>
      <w:r>
        <w:rPr>
          <w:spacing w:val="-3"/>
          <w:w w:val="105"/>
        </w:rPr>
        <w:t> </w:t>
      </w:r>
      <w:r>
        <w:rPr>
          <w:w w:val="105"/>
        </w:rPr>
        <w:t>was</w:t>
      </w:r>
      <w:r>
        <w:rPr>
          <w:spacing w:val="-3"/>
          <w:w w:val="105"/>
        </w:rPr>
        <w:t> </w:t>
      </w:r>
      <w:r>
        <w:rPr>
          <w:w w:val="105"/>
        </w:rPr>
        <w:t>just</w:t>
      </w:r>
      <w:r>
        <w:rPr>
          <w:spacing w:val="-3"/>
          <w:w w:val="105"/>
        </w:rPr>
        <w:t> </w:t>
      </w:r>
      <w:r>
        <w:rPr>
          <w:w w:val="105"/>
        </w:rPr>
        <w:t>one</w:t>
      </w:r>
      <w:r>
        <w:rPr>
          <w:spacing w:val="-2"/>
          <w:w w:val="105"/>
        </w:rPr>
        <w:t> </w:t>
      </w:r>
      <w:r>
        <w:rPr>
          <w:w w:val="105"/>
        </w:rPr>
        <w:t>way</w:t>
      </w:r>
      <w:r>
        <w:rPr>
          <w:spacing w:val="-2"/>
          <w:w w:val="105"/>
        </w:rPr>
        <w:t> </w:t>
      </w:r>
      <w:r>
        <w:rPr>
          <w:w w:val="105"/>
        </w:rPr>
        <w:t>that</w:t>
      </w:r>
      <w:r>
        <w:rPr>
          <w:spacing w:val="-3"/>
          <w:w w:val="105"/>
        </w:rPr>
        <w:t> </w:t>
      </w:r>
      <w:r>
        <w:rPr>
          <w:w w:val="105"/>
        </w:rPr>
        <w:t>Hitchcock’s</w:t>
      </w:r>
      <w:r>
        <w:rPr>
          <w:spacing w:val="-3"/>
          <w:w w:val="105"/>
        </w:rPr>
        <w:t> </w:t>
      </w:r>
      <w:r>
        <w:rPr>
          <w:w w:val="105"/>
        </w:rPr>
        <w:t>translation</w:t>
      </w:r>
      <w:r>
        <w:rPr>
          <w:spacing w:val="-2"/>
          <w:w w:val="105"/>
        </w:rPr>
        <w:t> </w:t>
      </w:r>
      <w:r>
        <w:rPr>
          <w:w w:val="105"/>
        </w:rPr>
        <w:t>shifts</w:t>
      </w:r>
      <w:r>
        <w:rPr>
          <w:spacing w:val="-3"/>
          <w:w w:val="105"/>
        </w:rPr>
        <w:t> </w:t>
      </w:r>
      <w:r>
        <w:rPr>
          <w:w w:val="105"/>
        </w:rPr>
        <w:t>the</w:t>
      </w:r>
      <w:r>
        <w:rPr>
          <w:spacing w:val="-3"/>
          <w:w w:val="105"/>
        </w:rPr>
        <w:t> </w:t>
      </w:r>
      <w:r>
        <w:rPr>
          <w:w w:val="105"/>
        </w:rPr>
        <w:t>point</w:t>
      </w:r>
      <w:r>
        <w:rPr>
          <w:spacing w:val="-3"/>
          <w:w w:val="105"/>
        </w:rPr>
        <w:t> </w:t>
      </w:r>
      <w:r>
        <w:rPr>
          <w:w w:val="105"/>
        </w:rPr>
        <w:t>of</w:t>
      </w:r>
      <w:r>
        <w:rPr>
          <w:spacing w:val="-3"/>
          <w:w w:val="105"/>
        </w:rPr>
        <w:t> </w:t>
      </w:r>
      <w:r>
        <w:rPr>
          <w:w w:val="105"/>
        </w:rPr>
        <w:t>view</w:t>
      </w:r>
      <w:r>
        <w:rPr>
          <w:spacing w:val="-1"/>
          <w:w w:val="105"/>
        </w:rPr>
        <w:t> </w:t>
      </w:r>
      <w:r>
        <w:rPr>
          <w:w w:val="105"/>
        </w:rPr>
        <w:t>from</w:t>
      </w:r>
      <w:r>
        <w:rPr>
          <w:spacing w:val="-1"/>
          <w:w w:val="105"/>
        </w:rPr>
        <w:t> </w:t>
      </w:r>
      <w:r>
        <w:rPr>
          <w:w w:val="105"/>
        </w:rPr>
        <w:t>Jeff’s</w:t>
      </w:r>
      <w:r>
        <w:rPr>
          <w:spacing w:val="-3"/>
          <w:w w:val="105"/>
        </w:rPr>
        <w:t> </w:t>
      </w:r>
      <w:r>
        <w:rPr>
          <w:w w:val="105"/>
        </w:rPr>
        <w:t>eyes to his windows, the difference being that we can now observe Jeffries himself a little more.</w:t>
      </w:r>
    </w:p>
    <w:sectPr>
      <w:pgSz w:w="12240" w:h="15840"/>
      <w:pgMar w:top="13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11"/>
    </w:pPr>
    <w:rPr>
      <w:rFonts w:ascii="Times New Roman" w:hAnsi="Times New Roman" w:eastAsia="Times New Roman" w:cs="Times New Roman"/>
      <w:sz w:val="20"/>
      <w:szCs w:val="2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Document10</dc:title>
  <dcterms:created xsi:type="dcterms:W3CDTF">2022-10-19T17:39:10Z</dcterms:created>
  <dcterms:modified xsi:type="dcterms:W3CDTF">2022-10-19T17:39:10Z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Creator">
    <vt:lpwstr>Word</vt:lpwstr>
  </property>
  <property fmtid="{D5CDD505-2E9C-101B-9397-08002B2CF9AE}" pid="4" name="LastSaved">
    <vt:filetime>2022-10-19T00:00:00Z</vt:filetime>
  </property>
  <property fmtid="{D5CDD505-2E9C-101B-9397-08002B2CF9AE}" pid="5" name="Producer">
    <vt:lpwstr>macOS Version 10.15.7 (Build 19H15) Quartz PDFContext</vt:lpwstr>
  </property>
</Properties>
</file>