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68469" w14:textId="738267A5" w:rsidR="00F7583C" w:rsidRPr="00F7583C" w:rsidRDefault="00F7583C" w:rsidP="00F7583C">
      <w:pPr>
        <w:rPr>
          <w:sz w:val="24"/>
          <w:szCs w:val="24"/>
        </w:rPr>
      </w:pPr>
      <w:r w:rsidRPr="00F7583C">
        <w:rPr>
          <w:sz w:val="24"/>
          <w:szCs w:val="24"/>
        </w:rPr>
        <w:t xml:space="preserve">14.4 </w:t>
      </w:r>
      <w:r>
        <w:rPr>
          <w:sz w:val="24"/>
          <w:szCs w:val="24"/>
        </w:rPr>
        <w:t xml:space="preserve">  </w:t>
      </w:r>
      <w:proofErr w:type="gramStart"/>
      <w:r>
        <w:rPr>
          <w:sz w:val="24"/>
          <w:szCs w:val="24"/>
        </w:rPr>
        <w:t xml:space="preserve">  </w:t>
      </w:r>
      <w:r w:rsidRPr="00F7583C">
        <w:rPr>
          <w:sz w:val="24"/>
          <w:szCs w:val="24"/>
        </w:rPr>
        <w:t xml:space="preserve"> (</w:t>
      </w:r>
      <w:proofErr w:type="gramEnd"/>
      <w:r w:rsidRPr="00F7583C">
        <w:rPr>
          <w:sz w:val="24"/>
          <w:szCs w:val="24"/>
        </w:rPr>
        <w:t>a) Compute the repeat unit molecular weight of polypropylene.</w:t>
      </w:r>
    </w:p>
    <w:p w14:paraId="541A9E7F" w14:textId="0981632C" w:rsidR="00D1003A" w:rsidRDefault="00F7583C" w:rsidP="00F7583C">
      <w:pPr>
        <w:rPr>
          <w:sz w:val="24"/>
          <w:szCs w:val="24"/>
        </w:rPr>
      </w:pPr>
      <w:r>
        <w:rPr>
          <w:sz w:val="24"/>
          <w:szCs w:val="24"/>
        </w:rPr>
        <w:t xml:space="preserve"> </w:t>
      </w:r>
      <w:r>
        <w:rPr>
          <w:sz w:val="24"/>
          <w:szCs w:val="24"/>
        </w:rPr>
        <w:tab/>
      </w:r>
      <w:r w:rsidRPr="00F7583C">
        <w:rPr>
          <w:sz w:val="24"/>
          <w:szCs w:val="24"/>
        </w:rPr>
        <w:t xml:space="preserve">(b) Compute the number-average molecular weight for a polypropylene for which the </w:t>
      </w:r>
      <w:r>
        <w:rPr>
          <w:sz w:val="24"/>
          <w:szCs w:val="24"/>
        </w:rPr>
        <w:t xml:space="preserve">     </w:t>
      </w:r>
      <w:r w:rsidRPr="00F7583C">
        <w:rPr>
          <w:sz w:val="24"/>
          <w:szCs w:val="24"/>
        </w:rPr>
        <w:t>degree of polymerization is 15,000.</w:t>
      </w:r>
    </w:p>
    <w:p w14:paraId="43C657BD" w14:textId="2B20D5D0" w:rsidR="00F7583C" w:rsidRDefault="00F7583C" w:rsidP="00F7583C">
      <w:pPr>
        <w:rPr>
          <w:sz w:val="24"/>
          <w:szCs w:val="24"/>
        </w:rPr>
      </w:pPr>
    </w:p>
    <w:p w14:paraId="5E1A682A" w14:textId="77777777" w:rsidR="00F7583C" w:rsidRPr="00F7583C" w:rsidRDefault="00F7583C" w:rsidP="00F7583C">
      <w:pPr>
        <w:rPr>
          <w:sz w:val="24"/>
          <w:szCs w:val="24"/>
        </w:rPr>
      </w:pPr>
      <w:proofErr w:type="gramStart"/>
      <w:r w:rsidRPr="00F7583C">
        <w:rPr>
          <w:sz w:val="24"/>
          <w:szCs w:val="24"/>
        </w:rPr>
        <w:t>14.14  (</w:t>
      </w:r>
      <w:proofErr w:type="gramEnd"/>
      <w:r w:rsidRPr="00F7583C">
        <w:rPr>
          <w:sz w:val="24"/>
          <w:szCs w:val="24"/>
        </w:rPr>
        <w:t>a) Is it possible to grind up and reuse phenol-formaldehyde? Why or why not?</w:t>
      </w:r>
    </w:p>
    <w:p w14:paraId="25B75279" w14:textId="4171307B" w:rsidR="00F7583C" w:rsidRDefault="00F7583C" w:rsidP="00F7583C">
      <w:pPr>
        <w:rPr>
          <w:sz w:val="24"/>
          <w:szCs w:val="24"/>
        </w:rPr>
      </w:pPr>
      <w:r w:rsidRPr="00F7583C">
        <w:rPr>
          <w:sz w:val="24"/>
          <w:szCs w:val="24"/>
        </w:rPr>
        <w:tab/>
        <w:t>(b) Is it possible to grind up and reuse polypropylene? Why or why not?</w:t>
      </w:r>
    </w:p>
    <w:p w14:paraId="2E5DA831" w14:textId="5A0A1A8B" w:rsidR="00F7583C" w:rsidRDefault="00F7583C" w:rsidP="00F7583C">
      <w:pPr>
        <w:rPr>
          <w:sz w:val="24"/>
          <w:szCs w:val="24"/>
        </w:rPr>
      </w:pPr>
    </w:p>
    <w:p w14:paraId="50A92FEB" w14:textId="0310B0A6" w:rsidR="00F7583C" w:rsidRDefault="00F7583C" w:rsidP="00F7583C">
      <w:pPr>
        <w:rPr>
          <w:sz w:val="24"/>
          <w:szCs w:val="24"/>
        </w:rPr>
      </w:pPr>
      <w:proofErr w:type="gramStart"/>
      <w:r w:rsidRPr="00F7583C">
        <w:rPr>
          <w:sz w:val="24"/>
          <w:szCs w:val="24"/>
        </w:rPr>
        <w:t>14.18  An</w:t>
      </w:r>
      <w:proofErr w:type="gramEnd"/>
      <w:r w:rsidRPr="00F7583C">
        <w:rPr>
          <w:sz w:val="24"/>
          <w:szCs w:val="24"/>
        </w:rPr>
        <w:t xml:space="preserve"> alternating copolymer is known to have a number-average molecular weight of 100,000 g/mol and a degree of polymerization of 2210. If one of the repeat units is ethylene, which of styrene, propylene, tetrafluoroethylene, and vinyl chloride is the other repeat unit? Why</w:t>
      </w:r>
      <w:r>
        <w:rPr>
          <w:sz w:val="24"/>
          <w:szCs w:val="24"/>
        </w:rPr>
        <w:t>?</w:t>
      </w:r>
    </w:p>
    <w:p w14:paraId="32559085" w14:textId="17960B59" w:rsidR="00F7583C" w:rsidRDefault="00F7583C" w:rsidP="00F7583C">
      <w:pPr>
        <w:rPr>
          <w:sz w:val="24"/>
          <w:szCs w:val="24"/>
        </w:rPr>
      </w:pPr>
    </w:p>
    <w:p w14:paraId="723E1551" w14:textId="7B044003" w:rsidR="00F7583C" w:rsidRDefault="00155D98" w:rsidP="00F7583C">
      <w:pPr>
        <w:rPr>
          <w:sz w:val="24"/>
          <w:szCs w:val="24"/>
        </w:rPr>
      </w:pPr>
      <w:proofErr w:type="gramStart"/>
      <w:r w:rsidRPr="00155D98">
        <w:rPr>
          <w:sz w:val="24"/>
          <w:szCs w:val="24"/>
        </w:rPr>
        <w:t>14.22  Explain</w:t>
      </w:r>
      <w:proofErr w:type="gramEnd"/>
      <w:r w:rsidRPr="00155D98">
        <w:rPr>
          <w:sz w:val="24"/>
          <w:szCs w:val="24"/>
        </w:rPr>
        <w:t xml:space="preserve"> briefly why the tendency of a polymer to crystallize decreases with increasing molecular weight.</w:t>
      </w:r>
    </w:p>
    <w:p w14:paraId="79611109" w14:textId="77777777" w:rsidR="00155D98" w:rsidRPr="00155D98" w:rsidRDefault="00155D98" w:rsidP="00155D98">
      <w:pPr>
        <w:rPr>
          <w:sz w:val="24"/>
          <w:szCs w:val="24"/>
        </w:rPr>
      </w:pPr>
      <w:proofErr w:type="gramStart"/>
      <w:r w:rsidRPr="00155D98">
        <w:rPr>
          <w:sz w:val="24"/>
          <w:szCs w:val="24"/>
        </w:rPr>
        <w:t>14.25  The</w:t>
      </w:r>
      <w:proofErr w:type="gramEnd"/>
      <w:r w:rsidRPr="00155D98">
        <w:rPr>
          <w:sz w:val="24"/>
          <w:szCs w:val="24"/>
        </w:rPr>
        <w:t xml:space="preserve"> density and associated percent crystallinity for two poly(ethylene terephthalate) materials are as follows:</w:t>
      </w:r>
    </w:p>
    <w:p w14:paraId="47F8984F" w14:textId="3F7D7693" w:rsidR="00155D98" w:rsidRPr="00155D98" w:rsidRDefault="00155D98" w:rsidP="00155D98">
      <w:pPr>
        <w:jc w:val="center"/>
        <w:rPr>
          <w:sz w:val="24"/>
          <w:szCs w:val="24"/>
        </w:rPr>
      </w:pPr>
      <w:r>
        <w:rPr>
          <w:noProof/>
        </w:rPr>
        <w:drawing>
          <wp:inline distT="0" distB="0" distL="0" distR="0" wp14:anchorId="6B5ABEE2" wp14:editId="6CC43DA3">
            <wp:extent cx="4683057" cy="10096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2372" t="39338" r="32692" b="47264"/>
                    <a:stretch/>
                  </pic:blipFill>
                  <pic:spPr bwMode="auto">
                    <a:xfrm>
                      <a:off x="0" y="0"/>
                      <a:ext cx="4692745" cy="1011739"/>
                    </a:xfrm>
                    <a:prstGeom prst="rect">
                      <a:avLst/>
                    </a:prstGeom>
                    <a:ln>
                      <a:noFill/>
                    </a:ln>
                    <a:extLst>
                      <a:ext uri="{53640926-AAD7-44D8-BBD7-CCE9431645EC}">
                        <a14:shadowObscured xmlns:a14="http://schemas.microsoft.com/office/drawing/2010/main"/>
                      </a:ext>
                    </a:extLst>
                  </pic:spPr>
                </pic:pic>
              </a:graphicData>
            </a:graphic>
          </wp:inline>
        </w:drawing>
      </w:r>
    </w:p>
    <w:p w14:paraId="26F7F820" w14:textId="77777777" w:rsidR="00155D98" w:rsidRPr="00155D98" w:rsidRDefault="00155D98" w:rsidP="00155D98">
      <w:pPr>
        <w:rPr>
          <w:sz w:val="24"/>
          <w:szCs w:val="24"/>
        </w:rPr>
      </w:pPr>
      <w:r w:rsidRPr="00155D98">
        <w:rPr>
          <w:sz w:val="24"/>
          <w:szCs w:val="24"/>
        </w:rPr>
        <w:tab/>
        <w:t xml:space="preserve">(a) Compute the densities of totally crystalline and totally amorphous </w:t>
      </w:r>
      <w:proofErr w:type="gramStart"/>
      <w:r w:rsidRPr="00155D98">
        <w:rPr>
          <w:sz w:val="24"/>
          <w:szCs w:val="24"/>
        </w:rPr>
        <w:t>poly(</w:t>
      </w:r>
      <w:proofErr w:type="gramEnd"/>
      <w:r w:rsidRPr="00155D98">
        <w:rPr>
          <w:sz w:val="24"/>
          <w:szCs w:val="24"/>
        </w:rPr>
        <w:t>ethylene terephthalate).</w:t>
      </w:r>
    </w:p>
    <w:p w14:paraId="6D18AABF" w14:textId="4B3AAFA8" w:rsidR="00155D98" w:rsidRDefault="00155D98" w:rsidP="00155D98">
      <w:pPr>
        <w:rPr>
          <w:sz w:val="24"/>
          <w:szCs w:val="24"/>
        </w:rPr>
      </w:pPr>
      <w:r w:rsidRPr="00155D98">
        <w:rPr>
          <w:sz w:val="24"/>
          <w:szCs w:val="24"/>
        </w:rPr>
        <w:tab/>
        <w:t>(b) Determine the percent crystallinity of a specimen having a density of 1.382 g/cm3.</w:t>
      </w:r>
    </w:p>
    <w:p w14:paraId="06311189" w14:textId="77777777" w:rsidR="00155D98" w:rsidRDefault="00155D98" w:rsidP="00155D98">
      <w:pPr>
        <w:rPr>
          <w:sz w:val="24"/>
          <w:szCs w:val="24"/>
        </w:rPr>
      </w:pPr>
    </w:p>
    <w:p w14:paraId="25719A19" w14:textId="237A5EF5" w:rsidR="00155D98" w:rsidRDefault="00155D98" w:rsidP="00155D98">
      <w:pPr>
        <w:rPr>
          <w:sz w:val="24"/>
          <w:szCs w:val="24"/>
        </w:rPr>
      </w:pPr>
      <w:proofErr w:type="gramStart"/>
      <w:r w:rsidRPr="00155D98">
        <w:rPr>
          <w:sz w:val="24"/>
          <w:szCs w:val="24"/>
        </w:rPr>
        <w:t>15.5  In</w:t>
      </w:r>
      <w:proofErr w:type="gramEnd"/>
      <w:r w:rsidRPr="00155D98">
        <w:rPr>
          <w:sz w:val="24"/>
          <w:szCs w:val="24"/>
        </w:rPr>
        <w:t xml:space="preserve"> your own words, briefly describe the phenomenon of viscoelasticity.</w:t>
      </w:r>
    </w:p>
    <w:p w14:paraId="28999A99" w14:textId="27CC9EE6" w:rsidR="00155D98" w:rsidRDefault="00155D98" w:rsidP="00155D98">
      <w:pPr>
        <w:rPr>
          <w:sz w:val="24"/>
          <w:szCs w:val="24"/>
        </w:rPr>
      </w:pPr>
    </w:p>
    <w:p w14:paraId="2C33DA5E" w14:textId="77777777" w:rsidR="00155D98" w:rsidRDefault="00155D98" w:rsidP="00155D98">
      <w:pPr>
        <w:rPr>
          <w:sz w:val="24"/>
          <w:szCs w:val="24"/>
        </w:rPr>
      </w:pPr>
    </w:p>
    <w:p w14:paraId="133DD9B1" w14:textId="77777777" w:rsidR="00155D98" w:rsidRDefault="00155D98" w:rsidP="00155D98">
      <w:pPr>
        <w:rPr>
          <w:sz w:val="24"/>
          <w:szCs w:val="24"/>
        </w:rPr>
      </w:pPr>
    </w:p>
    <w:p w14:paraId="797359A1" w14:textId="77777777" w:rsidR="00155D98" w:rsidRDefault="00155D98" w:rsidP="00155D98">
      <w:pPr>
        <w:rPr>
          <w:sz w:val="24"/>
          <w:szCs w:val="24"/>
        </w:rPr>
      </w:pPr>
    </w:p>
    <w:p w14:paraId="666D5040" w14:textId="77777777" w:rsidR="00155D98" w:rsidRDefault="00155D98" w:rsidP="00155D98">
      <w:pPr>
        <w:rPr>
          <w:sz w:val="24"/>
          <w:szCs w:val="24"/>
        </w:rPr>
      </w:pPr>
    </w:p>
    <w:p w14:paraId="2BE8E966" w14:textId="59427AC9" w:rsidR="00155D98" w:rsidRPr="00155D98" w:rsidRDefault="00155D98" w:rsidP="00155D98">
      <w:pPr>
        <w:rPr>
          <w:sz w:val="24"/>
          <w:szCs w:val="24"/>
        </w:rPr>
      </w:pPr>
      <w:proofErr w:type="gramStart"/>
      <w:r w:rsidRPr="00155D98">
        <w:rPr>
          <w:sz w:val="24"/>
          <w:szCs w:val="24"/>
        </w:rPr>
        <w:lastRenderedPageBreak/>
        <w:t>15.14  Briefly</w:t>
      </w:r>
      <w:proofErr w:type="gramEnd"/>
      <w:r w:rsidRPr="00155D98">
        <w:rPr>
          <w:sz w:val="24"/>
          <w:szCs w:val="24"/>
        </w:rPr>
        <w:t xml:space="preserve"> explain how each of the following influences the tensile modulus of a </w:t>
      </w:r>
      <w:proofErr w:type="spellStart"/>
      <w:r w:rsidRPr="00155D98">
        <w:rPr>
          <w:sz w:val="24"/>
          <w:szCs w:val="24"/>
        </w:rPr>
        <w:t>semicrystalline</w:t>
      </w:r>
      <w:proofErr w:type="spellEnd"/>
      <w:r w:rsidRPr="00155D98">
        <w:rPr>
          <w:sz w:val="24"/>
          <w:szCs w:val="24"/>
        </w:rPr>
        <w:t xml:space="preserve"> polymer and why:</w:t>
      </w:r>
    </w:p>
    <w:p w14:paraId="214EC653" w14:textId="77777777" w:rsidR="00155D98" w:rsidRPr="00155D98" w:rsidRDefault="00155D98" w:rsidP="00155D98">
      <w:pPr>
        <w:rPr>
          <w:sz w:val="24"/>
          <w:szCs w:val="24"/>
        </w:rPr>
      </w:pPr>
      <w:r w:rsidRPr="00155D98">
        <w:rPr>
          <w:sz w:val="24"/>
          <w:szCs w:val="24"/>
        </w:rPr>
        <w:tab/>
        <w:t>(a) molecular weight</w:t>
      </w:r>
    </w:p>
    <w:p w14:paraId="661B1094" w14:textId="77777777" w:rsidR="00155D98" w:rsidRPr="00155D98" w:rsidRDefault="00155D98" w:rsidP="00155D98">
      <w:pPr>
        <w:rPr>
          <w:sz w:val="24"/>
          <w:szCs w:val="24"/>
        </w:rPr>
      </w:pPr>
      <w:r w:rsidRPr="00155D98">
        <w:rPr>
          <w:sz w:val="24"/>
          <w:szCs w:val="24"/>
        </w:rPr>
        <w:tab/>
        <w:t>(b) degree of crystallinity</w:t>
      </w:r>
    </w:p>
    <w:p w14:paraId="3757E0F9" w14:textId="77777777" w:rsidR="00155D98" w:rsidRPr="00155D98" w:rsidRDefault="00155D98" w:rsidP="00155D98">
      <w:pPr>
        <w:rPr>
          <w:sz w:val="24"/>
          <w:szCs w:val="24"/>
        </w:rPr>
      </w:pPr>
      <w:r w:rsidRPr="00155D98">
        <w:rPr>
          <w:sz w:val="24"/>
          <w:szCs w:val="24"/>
        </w:rPr>
        <w:tab/>
        <w:t>(c) deformation by drawing</w:t>
      </w:r>
    </w:p>
    <w:p w14:paraId="415E76D1" w14:textId="77777777" w:rsidR="00155D98" w:rsidRPr="00155D98" w:rsidRDefault="00155D98" w:rsidP="00155D98">
      <w:pPr>
        <w:rPr>
          <w:sz w:val="24"/>
          <w:szCs w:val="24"/>
        </w:rPr>
      </w:pPr>
      <w:r w:rsidRPr="00155D98">
        <w:rPr>
          <w:sz w:val="24"/>
          <w:szCs w:val="24"/>
        </w:rPr>
        <w:tab/>
        <w:t>(d) annealing of an undeformed material</w:t>
      </w:r>
    </w:p>
    <w:p w14:paraId="6FF8A3AF" w14:textId="0AACA249" w:rsidR="00155D98" w:rsidRDefault="00155D98" w:rsidP="00155D98">
      <w:pPr>
        <w:rPr>
          <w:sz w:val="24"/>
          <w:szCs w:val="24"/>
        </w:rPr>
      </w:pPr>
      <w:r w:rsidRPr="00155D98">
        <w:rPr>
          <w:sz w:val="24"/>
          <w:szCs w:val="24"/>
        </w:rPr>
        <w:tab/>
        <w:t>(e) annealing of a drawn material</w:t>
      </w:r>
    </w:p>
    <w:p w14:paraId="1C11B776" w14:textId="77777777" w:rsidR="00155D98" w:rsidRPr="00155D98" w:rsidRDefault="00155D98" w:rsidP="00155D98">
      <w:pPr>
        <w:rPr>
          <w:sz w:val="24"/>
          <w:szCs w:val="24"/>
        </w:rPr>
      </w:pPr>
      <w:proofErr w:type="gramStart"/>
      <w:r w:rsidRPr="00155D98">
        <w:rPr>
          <w:sz w:val="24"/>
          <w:szCs w:val="24"/>
        </w:rPr>
        <w:t>15.17  The</w:t>
      </w:r>
      <w:proofErr w:type="gramEnd"/>
      <w:r w:rsidRPr="00155D98">
        <w:rPr>
          <w:sz w:val="24"/>
          <w:szCs w:val="24"/>
        </w:rPr>
        <w:t xml:space="preserve"> tensile strength and number-average molecular weight for two poly(methyl methacrylate) materials are as follows:</w:t>
      </w:r>
    </w:p>
    <w:tbl>
      <w:tblPr>
        <w:tblW w:w="0" w:type="auto"/>
        <w:tblLayout w:type="fixed"/>
        <w:tblLook w:val="0000" w:firstRow="0" w:lastRow="0" w:firstColumn="0" w:lastColumn="0" w:noHBand="0" w:noVBand="0"/>
      </w:tblPr>
      <w:tblGrid>
        <w:gridCol w:w="4788"/>
        <w:gridCol w:w="4788"/>
      </w:tblGrid>
      <w:tr w:rsidR="00155D98" w:rsidRPr="00155D98" w14:paraId="57296954" w14:textId="77777777" w:rsidTr="008C2D27">
        <w:tc>
          <w:tcPr>
            <w:tcW w:w="4788" w:type="dxa"/>
            <w:tcBorders>
              <w:top w:val="single" w:sz="4" w:space="0" w:color="auto"/>
              <w:bottom w:val="single" w:sz="4" w:space="0" w:color="auto"/>
            </w:tcBorders>
          </w:tcPr>
          <w:p w14:paraId="3C8242CC" w14:textId="77777777" w:rsidR="00155D98" w:rsidRPr="00155D98" w:rsidRDefault="00155D98" w:rsidP="00155D98">
            <w:pPr>
              <w:spacing w:after="0" w:line="360" w:lineRule="auto"/>
              <w:jc w:val="center"/>
              <w:rPr>
                <w:rFonts w:ascii="Times New Roman" w:eastAsia="Times New Roman" w:hAnsi="Times New Roman" w:cs="Times New Roman"/>
                <w:b/>
                <w:i/>
                <w:sz w:val="20"/>
                <w:szCs w:val="20"/>
              </w:rPr>
            </w:pPr>
            <w:r w:rsidRPr="00155D98">
              <w:rPr>
                <w:rFonts w:ascii="Liberation Serif" w:eastAsia="Times New Roman" w:hAnsi="Liberation Serif" w:cs="Times New Roman"/>
                <w:b/>
                <w:i/>
                <w:sz w:val="20"/>
                <w:szCs w:val="20"/>
              </w:rPr>
              <w:t>Tensile Strength (MPa)</w:t>
            </w:r>
          </w:p>
        </w:tc>
        <w:tc>
          <w:tcPr>
            <w:tcW w:w="4788" w:type="dxa"/>
            <w:tcBorders>
              <w:top w:val="single" w:sz="4" w:space="0" w:color="auto"/>
              <w:bottom w:val="single" w:sz="4" w:space="0" w:color="auto"/>
            </w:tcBorders>
          </w:tcPr>
          <w:p w14:paraId="6C49680B" w14:textId="77777777" w:rsidR="00155D98" w:rsidRPr="00155D98" w:rsidRDefault="00155D98" w:rsidP="00155D98">
            <w:pPr>
              <w:spacing w:after="0" w:line="360" w:lineRule="auto"/>
              <w:jc w:val="center"/>
              <w:rPr>
                <w:rFonts w:ascii="Liberation Serif" w:eastAsia="Times New Roman" w:hAnsi="Liberation Serif" w:cs="Times New Roman"/>
                <w:b/>
                <w:i/>
                <w:sz w:val="20"/>
                <w:szCs w:val="20"/>
              </w:rPr>
            </w:pPr>
            <w:r w:rsidRPr="00155D98">
              <w:rPr>
                <w:rFonts w:ascii="Liberation Serif" w:eastAsia="Times New Roman" w:hAnsi="Liberation Serif" w:cs="Times New Roman"/>
                <w:b/>
                <w:i/>
                <w:sz w:val="20"/>
                <w:szCs w:val="20"/>
              </w:rPr>
              <w:t>Number-Average Molecular Weight (g/mol)</w:t>
            </w:r>
          </w:p>
        </w:tc>
      </w:tr>
      <w:tr w:rsidR="00155D98" w:rsidRPr="00155D98" w14:paraId="2649B133" w14:textId="77777777" w:rsidTr="008C2D27">
        <w:tc>
          <w:tcPr>
            <w:tcW w:w="4788" w:type="dxa"/>
            <w:tcBorders>
              <w:top w:val="single" w:sz="4" w:space="0" w:color="auto"/>
            </w:tcBorders>
          </w:tcPr>
          <w:p w14:paraId="6ABA94C1" w14:textId="77777777" w:rsidR="00155D98" w:rsidRPr="00155D98" w:rsidRDefault="00155D98" w:rsidP="00155D98">
            <w:pPr>
              <w:tabs>
                <w:tab w:val="decimal" w:pos="2520"/>
              </w:tabs>
              <w:spacing w:after="0" w:line="360" w:lineRule="auto"/>
              <w:jc w:val="both"/>
              <w:rPr>
                <w:rFonts w:ascii="Times New Roman" w:eastAsia="Times New Roman" w:hAnsi="Times New Roman" w:cs="Times New Roman"/>
                <w:i/>
                <w:sz w:val="20"/>
                <w:szCs w:val="20"/>
              </w:rPr>
            </w:pPr>
            <w:r w:rsidRPr="00155D98">
              <w:rPr>
                <w:rFonts w:ascii="Liberation Serif" w:eastAsia="Times New Roman" w:hAnsi="Liberation Serif" w:cs="Times New Roman"/>
                <w:i/>
                <w:sz w:val="20"/>
                <w:szCs w:val="20"/>
              </w:rPr>
              <w:t>50</w:t>
            </w:r>
          </w:p>
        </w:tc>
        <w:tc>
          <w:tcPr>
            <w:tcW w:w="4788" w:type="dxa"/>
            <w:tcBorders>
              <w:top w:val="single" w:sz="4" w:space="0" w:color="auto"/>
            </w:tcBorders>
          </w:tcPr>
          <w:p w14:paraId="12E996C5" w14:textId="77777777" w:rsidR="00155D98" w:rsidRPr="00155D98" w:rsidRDefault="00155D98" w:rsidP="00155D98">
            <w:pPr>
              <w:spacing w:after="0" w:line="360" w:lineRule="auto"/>
              <w:jc w:val="center"/>
              <w:rPr>
                <w:rFonts w:ascii="Liberation Serif" w:eastAsia="Times New Roman" w:hAnsi="Liberation Serif" w:cs="Times New Roman"/>
                <w:i/>
                <w:sz w:val="20"/>
                <w:szCs w:val="20"/>
              </w:rPr>
            </w:pPr>
            <w:r w:rsidRPr="00155D98">
              <w:rPr>
                <w:rFonts w:ascii="Liberation Serif" w:eastAsia="Times New Roman" w:hAnsi="Liberation Serif" w:cs="Times New Roman"/>
                <w:i/>
                <w:sz w:val="20"/>
                <w:szCs w:val="20"/>
              </w:rPr>
              <w:t>30,000</w:t>
            </w:r>
          </w:p>
        </w:tc>
      </w:tr>
      <w:tr w:rsidR="00155D98" w:rsidRPr="00155D98" w14:paraId="0D6EF714" w14:textId="77777777" w:rsidTr="008C2D27">
        <w:tc>
          <w:tcPr>
            <w:tcW w:w="4788" w:type="dxa"/>
            <w:tcBorders>
              <w:bottom w:val="single" w:sz="4" w:space="0" w:color="auto"/>
            </w:tcBorders>
          </w:tcPr>
          <w:p w14:paraId="741FBCC1" w14:textId="77777777" w:rsidR="00155D98" w:rsidRPr="00155D98" w:rsidRDefault="00155D98" w:rsidP="00155D98">
            <w:pPr>
              <w:tabs>
                <w:tab w:val="decimal" w:pos="2520"/>
              </w:tabs>
              <w:spacing w:after="0" w:line="360" w:lineRule="auto"/>
              <w:jc w:val="both"/>
              <w:rPr>
                <w:rFonts w:ascii="Times New Roman" w:eastAsia="Times New Roman" w:hAnsi="Times New Roman" w:cs="Times New Roman"/>
                <w:i/>
                <w:sz w:val="20"/>
                <w:szCs w:val="20"/>
              </w:rPr>
            </w:pPr>
            <w:r w:rsidRPr="00155D98">
              <w:rPr>
                <w:rFonts w:ascii="Liberation Serif" w:eastAsia="Times New Roman" w:hAnsi="Liberation Serif" w:cs="Times New Roman"/>
                <w:i/>
                <w:sz w:val="20"/>
                <w:szCs w:val="20"/>
              </w:rPr>
              <w:t>150</w:t>
            </w:r>
          </w:p>
        </w:tc>
        <w:tc>
          <w:tcPr>
            <w:tcW w:w="4788" w:type="dxa"/>
            <w:tcBorders>
              <w:bottom w:val="single" w:sz="4" w:space="0" w:color="auto"/>
            </w:tcBorders>
          </w:tcPr>
          <w:p w14:paraId="0099200B" w14:textId="77777777" w:rsidR="00155D98" w:rsidRPr="00155D98" w:rsidRDefault="00155D98" w:rsidP="00155D98">
            <w:pPr>
              <w:spacing w:after="0" w:line="360" w:lineRule="auto"/>
              <w:jc w:val="center"/>
              <w:rPr>
                <w:rFonts w:ascii="Liberation Serif" w:eastAsia="Times New Roman" w:hAnsi="Liberation Serif" w:cs="Times New Roman"/>
                <w:i/>
                <w:sz w:val="20"/>
                <w:szCs w:val="20"/>
              </w:rPr>
            </w:pPr>
            <w:r w:rsidRPr="00155D98">
              <w:rPr>
                <w:rFonts w:ascii="Liberation Serif" w:eastAsia="Times New Roman" w:hAnsi="Liberation Serif" w:cs="Times New Roman"/>
                <w:i/>
                <w:sz w:val="20"/>
                <w:szCs w:val="20"/>
              </w:rPr>
              <w:t>50,000</w:t>
            </w:r>
          </w:p>
        </w:tc>
      </w:tr>
    </w:tbl>
    <w:p w14:paraId="1BDA87BD" w14:textId="4D0F8BB3" w:rsidR="00155D98" w:rsidRDefault="00155D98" w:rsidP="00155D98">
      <w:pPr>
        <w:rPr>
          <w:sz w:val="24"/>
          <w:szCs w:val="24"/>
        </w:rPr>
      </w:pPr>
      <w:r w:rsidRPr="00155D98">
        <w:rPr>
          <w:sz w:val="24"/>
          <w:szCs w:val="24"/>
        </w:rPr>
        <w:t>Estimate the tensile strength at a number-average molecular weight of 40,000 g/mol.</w:t>
      </w:r>
    </w:p>
    <w:p w14:paraId="686F1EFA" w14:textId="0A044B91" w:rsidR="00155D98" w:rsidRDefault="00155D98" w:rsidP="00155D98">
      <w:pPr>
        <w:rPr>
          <w:sz w:val="24"/>
          <w:szCs w:val="24"/>
        </w:rPr>
      </w:pPr>
    </w:p>
    <w:p w14:paraId="61D3BEFC" w14:textId="03552BF3" w:rsidR="00155D98" w:rsidRDefault="00155D98" w:rsidP="00155D98">
      <w:pPr>
        <w:rPr>
          <w:sz w:val="24"/>
          <w:szCs w:val="24"/>
        </w:rPr>
      </w:pPr>
      <w:proofErr w:type="gramStart"/>
      <w:r w:rsidRPr="00155D98">
        <w:rPr>
          <w:sz w:val="24"/>
          <w:szCs w:val="24"/>
        </w:rPr>
        <w:t>15.25  Fifteen</w:t>
      </w:r>
      <w:proofErr w:type="gramEnd"/>
      <w:r w:rsidRPr="00155D98">
        <w:rPr>
          <w:sz w:val="24"/>
          <w:szCs w:val="24"/>
        </w:rPr>
        <w:t xml:space="preserve"> kilograms of polychloroprene is vulcanized with 5.2 kg of sulfur. What fraction of the possible crosslink sites is bonded to sulfur crosslinks, assuming that, on the average, 5.5 sulfur atoms participate in each crosslink?</w:t>
      </w:r>
    </w:p>
    <w:p w14:paraId="7583AC57" w14:textId="5777861C" w:rsidR="00155D98" w:rsidRDefault="00155D98" w:rsidP="00155D98">
      <w:pPr>
        <w:rPr>
          <w:sz w:val="24"/>
          <w:szCs w:val="24"/>
        </w:rPr>
      </w:pPr>
    </w:p>
    <w:p w14:paraId="1F60BE5C" w14:textId="1784A64B" w:rsidR="00155D98" w:rsidRDefault="00574D55" w:rsidP="00155D98">
      <w:pPr>
        <w:rPr>
          <w:sz w:val="24"/>
          <w:szCs w:val="24"/>
        </w:rPr>
      </w:pPr>
      <w:r w:rsidRPr="00574D55">
        <w:rPr>
          <w:sz w:val="24"/>
          <w:szCs w:val="24"/>
        </w:rPr>
        <w:t>15.29  In a manner similar to Equation 15.4, demonstrate how vulcanization may occur in a chloroprene rubber.</w:t>
      </w:r>
      <w:bookmarkStart w:id="0" w:name="_GoBack"/>
      <w:bookmarkEnd w:id="0"/>
    </w:p>
    <w:sectPr w:rsidR="00155D9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1355E" w14:textId="77777777" w:rsidR="001572EC" w:rsidRDefault="001572EC" w:rsidP="001572EC">
      <w:pPr>
        <w:spacing w:after="0" w:line="240" w:lineRule="auto"/>
      </w:pPr>
      <w:r>
        <w:separator/>
      </w:r>
    </w:p>
  </w:endnote>
  <w:endnote w:type="continuationSeparator" w:id="0">
    <w:p w14:paraId="324ED6F5" w14:textId="77777777" w:rsidR="001572EC" w:rsidRDefault="001572EC" w:rsidP="00157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47AE2" w14:textId="77777777" w:rsidR="001572EC" w:rsidRDefault="001572EC" w:rsidP="001572EC">
      <w:pPr>
        <w:spacing w:after="0" w:line="240" w:lineRule="auto"/>
      </w:pPr>
      <w:r>
        <w:separator/>
      </w:r>
    </w:p>
  </w:footnote>
  <w:footnote w:type="continuationSeparator" w:id="0">
    <w:p w14:paraId="616B5FE4" w14:textId="77777777" w:rsidR="001572EC" w:rsidRDefault="001572EC" w:rsidP="00157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E97A0" w14:textId="22AF1FEE" w:rsidR="001572EC" w:rsidRPr="001572EC" w:rsidRDefault="001572EC" w:rsidP="001572EC">
    <w:pPr>
      <w:pStyle w:val="Header"/>
      <w:jc w:val="center"/>
      <w:rPr>
        <w:sz w:val="36"/>
      </w:rPr>
    </w:pPr>
    <w:r>
      <w:rPr>
        <w:sz w:val="36"/>
      </w:rPr>
      <w:t xml:space="preserve">HW </w:t>
    </w:r>
    <w:r w:rsidR="00D11B2C">
      <w:rPr>
        <w:sz w:val="36"/>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7617E"/>
    <w:multiLevelType w:val="hybridMultilevel"/>
    <w:tmpl w:val="640E0604"/>
    <w:lvl w:ilvl="0" w:tplc="EE96713C">
      <w:numFmt w:val="decimal"/>
      <w:lvlText w:val="%1"/>
      <w:lvlJc w:val="left"/>
      <w:pPr>
        <w:ind w:left="2190" w:hanging="213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CC2"/>
    <w:rsid w:val="00020DB0"/>
    <w:rsid w:val="00104CC2"/>
    <w:rsid w:val="0014751D"/>
    <w:rsid w:val="00155D98"/>
    <w:rsid w:val="001572EC"/>
    <w:rsid w:val="00166E82"/>
    <w:rsid w:val="001B40DB"/>
    <w:rsid w:val="001C69E0"/>
    <w:rsid w:val="00340AB1"/>
    <w:rsid w:val="00370FC1"/>
    <w:rsid w:val="003C7D09"/>
    <w:rsid w:val="004E4897"/>
    <w:rsid w:val="005745EB"/>
    <w:rsid w:val="00574D55"/>
    <w:rsid w:val="00587E6F"/>
    <w:rsid w:val="005A46D1"/>
    <w:rsid w:val="006820AB"/>
    <w:rsid w:val="006A6773"/>
    <w:rsid w:val="006B0E0E"/>
    <w:rsid w:val="007409A8"/>
    <w:rsid w:val="0078108C"/>
    <w:rsid w:val="007B1E21"/>
    <w:rsid w:val="007B280D"/>
    <w:rsid w:val="007D5F74"/>
    <w:rsid w:val="008E250E"/>
    <w:rsid w:val="00935363"/>
    <w:rsid w:val="00A01CC2"/>
    <w:rsid w:val="00A543F5"/>
    <w:rsid w:val="00A6119F"/>
    <w:rsid w:val="00A61733"/>
    <w:rsid w:val="00A70D9D"/>
    <w:rsid w:val="00B93800"/>
    <w:rsid w:val="00C1777C"/>
    <w:rsid w:val="00CC70C4"/>
    <w:rsid w:val="00D1003A"/>
    <w:rsid w:val="00D11B2C"/>
    <w:rsid w:val="00D40DA6"/>
    <w:rsid w:val="00D921BE"/>
    <w:rsid w:val="00DB72E3"/>
    <w:rsid w:val="00E47A50"/>
    <w:rsid w:val="00E81B4E"/>
    <w:rsid w:val="00E87E8E"/>
    <w:rsid w:val="00E93325"/>
    <w:rsid w:val="00EE556F"/>
    <w:rsid w:val="00F12D8C"/>
    <w:rsid w:val="00F336A6"/>
    <w:rsid w:val="00F5183A"/>
    <w:rsid w:val="00F75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6CE543"/>
  <w15:chartTrackingRefBased/>
  <w15:docId w15:val="{B2A74122-93AC-4EA3-88AF-09972D1B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0DB0"/>
    <w:pPr>
      <w:ind w:left="720"/>
      <w:contextualSpacing/>
    </w:pPr>
  </w:style>
  <w:style w:type="character" w:styleId="PlaceholderText">
    <w:name w:val="Placeholder Text"/>
    <w:basedOn w:val="DefaultParagraphFont"/>
    <w:uiPriority w:val="99"/>
    <w:semiHidden/>
    <w:rsid w:val="007B280D"/>
    <w:rPr>
      <w:color w:val="808080"/>
    </w:rPr>
  </w:style>
  <w:style w:type="paragraph" w:styleId="Header">
    <w:name w:val="header"/>
    <w:basedOn w:val="Normal"/>
    <w:link w:val="HeaderChar"/>
    <w:uiPriority w:val="99"/>
    <w:unhideWhenUsed/>
    <w:rsid w:val="00157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2EC"/>
  </w:style>
  <w:style w:type="paragraph" w:styleId="Footer">
    <w:name w:val="footer"/>
    <w:basedOn w:val="Normal"/>
    <w:link w:val="FooterChar"/>
    <w:uiPriority w:val="99"/>
    <w:unhideWhenUsed/>
    <w:rsid w:val="00157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2EC"/>
  </w:style>
  <w:style w:type="paragraph" w:customStyle="1" w:styleId="StyleSolutions">
    <w:name w:val="Style_Solutions"/>
    <w:basedOn w:val="Normal"/>
    <w:qFormat/>
    <w:rsid w:val="00D921BE"/>
    <w:pPr>
      <w:spacing w:after="0" w:line="360" w:lineRule="auto"/>
      <w:jc w:val="both"/>
    </w:pPr>
    <w:rPr>
      <w:rFonts w:ascii="Times New Roman" w:eastAsiaTheme="minorEastAsia" w:hAnsi="Times New Roman"/>
      <w:sz w:val="20"/>
      <w:szCs w:val="24"/>
    </w:rPr>
  </w:style>
  <w:style w:type="character" w:customStyle="1" w:styleId="SubscriptSolutions">
    <w:name w:val="Subscript_Solutions"/>
    <w:basedOn w:val="DefaultParagraphFont"/>
    <w:uiPriority w:val="1"/>
    <w:qFormat/>
    <w:rsid w:val="00D921BE"/>
    <w:rPr>
      <w:rFonts w:ascii="Times New Roman" w:hAnsi="Times New Roman"/>
      <w:position w:val="-6"/>
      <w:sz w:val="16"/>
      <w:szCs w:val="16"/>
    </w:rPr>
  </w:style>
  <w:style w:type="paragraph" w:customStyle="1" w:styleId="list1">
    <w:name w:val="list_1"/>
    <w:basedOn w:val="Normal"/>
    <w:rsid w:val="00D921BE"/>
    <w:pPr>
      <w:spacing w:after="0" w:line="480" w:lineRule="auto"/>
      <w:ind w:left="720" w:hanging="720"/>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55D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D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25F9A-AFEC-4611-9EF7-3CA604624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Swanson</dc:creator>
  <cp:keywords/>
  <dc:description/>
  <cp:lastModifiedBy>Dan Swanson</cp:lastModifiedBy>
  <cp:revision>3</cp:revision>
  <dcterms:created xsi:type="dcterms:W3CDTF">2019-03-27T12:56:00Z</dcterms:created>
  <dcterms:modified xsi:type="dcterms:W3CDTF">2019-03-27T13:16:00Z</dcterms:modified>
</cp:coreProperties>
</file>