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FINAL STUDY SHEET, PHIL 2203ID (Spring 2021)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Pediatric Decision Making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are the exceptions to the general rule that children do not have legal authority to make their own health care decisions? (we discussed about 5).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the difference between competence and decision making capacity? When do children become legally competent?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Explain one of Dr. MacDougall's arguments supporting the idea that parents should not be the default health care decision makers for their children.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an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fr-FR"/>
        </w:rPr>
        <w:t>objection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en-US"/>
        </w:rPr>
        <w:t>to an argument?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Sociology and Environmental Justice  (Prof. Mincyte)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sociology?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environmental justice, according to Prof. Mincyte?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Justice and the distribution of health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Which of Aristotle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kinds of justice is usually most relevant to health care ethics?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the formal principle of justice?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the material principle of justice usually used in American higher education?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are three major material principles of health justice, according to Dr. MacDougall?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Why isn't the formal principle of justice enough to help us determine when a distribution of is just?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Statistical Reasoning and Comparing Health Care Systems (Prof. Bayaz-Ozturk)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Which kind of statistical information is easier for most people to interpret: natural frequencies or probabilities?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Which is a better basis for comparing health care for cancer: survival rates or mortality? Why?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Thesis and paper workshop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4 characteristics of a good thesis for a case study did we discuss in class?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an "ethical dilemma"?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en-US"/>
        </w:rPr>
        <w:t>Medical authority, autonomy and reactance.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Prof. David H. Lee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health communication?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"health literacy"?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reactance? What kinds of actions trigger reactance?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the "magic word" that can help you get your way?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Guest Lecture</w:t>
      </w:r>
      <w:r>
        <w:rPr>
          <w:rFonts w:ascii="Times New Roman" w:hAnsi="Times New Roman" w:hint="default"/>
          <w:rtl w:val="0"/>
          <w:lang w:val="en-US"/>
        </w:rPr>
        <w:t>—“</w:t>
      </w:r>
      <w:r>
        <w:rPr>
          <w:rFonts w:ascii="Times New Roman" w:hAnsi="Times New Roman"/>
          <w:rtl w:val="0"/>
          <w:lang w:val="en-US"/>
        </w:rPr>
        <w:t>Further reflections on ethics in health communication.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  <w:lang w:val="fr-FR"/>
        </w:rPr>
        <w:t>Prof. David H. Lee (Communication/Humanities)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No questions.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Introduction to research ethics, Willowbrook case study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the purpose of research? How is it different from the purpose of health care?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What is the therapeutic misconception? 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Which of the 4 principles did we say in class would likely be violated by the proposed Willowbrook Case Study? In what way would they be violated?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Race and Health Research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When researchers ask patients to tell them their race, what aspect of race are they most likely interested in?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Explain one reason why self-reported race may not be a helpful way of obtaining the kind of information that could be beneficial to understanding the effect of health care interventions on different races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On Mill's definition, what is a "real kind"?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According to Dr. M, why is race at least partially a "real kind"?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Ethical Concerns for Conducting Survey Research in Health Psychology (Prof. Almond)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How does a salad dressing bottle illustrate the importance of good sampling methods?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In what way is research into the relationship between health and race similar to an elephant?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Vaccine allocation and vulnerable groups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does it mean to prioritize vaccine distribution by means of the market?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does it mean to prioritize maximizing general utility?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does it mean to prioritize the most vulnerable?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Self-care and health behaviors of health care providers (Prof. Almond)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is self-care, according to professor Almond?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Why is self-care ethically important for health care professionals?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Fonts w:ascii="Times New Roman" w:hAnsi="Times New Roman"/>
        <w:rtl w:val="0"/>
        <w:lang w:val="en-US"/>
      </w:rPr>
      <w:t>MacDougall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 List"/>
  </w:abstractNum>
  <w:abstractNum w:abstractNumId="1">
    <w:multiLevelType w:val="hybridMultilevel"/>
    <w:styleLink w:val="Numbered Lis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 List">
    <w:name w:val="Numbered Lis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