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E05" w:rsidRPr="00C6064D" w:rsidRDefault="005340F5" w:rsidP="00202EE2">
      <w:pPr>
        <w:spacing w:after="0" w:line="480" w:lineRule="auto"/>
        <w:jc w:val="center"/>
        <w:rPr>
          <w:rFonts w:ascii="Times New Roman" w:hAnsi="Times New Roman"/>
        </w:rPr>
      </w:pPr>
      <w:r>
        <w:rPr>
          <w:rFonts w:ascii="Times New Roman" w:hAnsi="Times New Roman"/>
        </w:rPr>
        <w:t>Assignment # 2</w:t>
      </w:r>
      <w:r w:rsidR="00A41E05" w:rsidRPr="00C6064D">
        <w:rPr>
          <w:rFonts w:ascii="Times New Roman" w:hAnsi="Times New Roman"/>
        </w:rPr>
        <w:t xml:space="preserve">: </w:t>
      </w:r>
      <w:r>
        <w:rPr>
          <w:rFonts w:ascii="Times New Roman" w:hAnsi="Times New Roman"/>
        </w:rPr>
        <w:t>Delivering Culturally Competent Care to Older Adults</w:t>
      </w:r>
    </w:p>
    <w:p w:rsidR="00A41E05" w:rsidRPr="00C6064D" w:rsidRDefault="00A41E05" w:rsidP="00202EE2">
      <w:pPr>
        <w:spacing w:after="0" w:line="480" w:lineRule="auto"/>
        <w:jc w:val="center"/>
        <w:rPr>
          <w:rFonts w:ascii="Times New Roman" w:hAnsi="Times New Roman"/>
        </w:rPr>
      </w:pPr>
      <w:r w:rsidRPr="00C6064D">
        <w:rPr>
          <w:rFonts w:ascii="Times New Roman" w:hAnsi="Times New Roman"/>
        </w:rPr>
        <w:t>Kristine Lauriello</w:t>
      </w:r>
    </w:p>
    <w:p w:rsidR="00A41E05" w:rsidRPr="00C6064D" w:rsidRDefault="00A41E05" w:rsidP="00202EE2">
      <w:pPr>
        <w:spacing w:after="0" w:line="480" w:lineRule="auto"/>
        <w:jc w:val="center"/>
        <w:rPr>
          <w:rFonts w:ascii="Times New Roman" w:hAnsi="Times New Roman"/>
        </w:rPr>
      </w:pPr>
      <w:r w:rsidRPr="00C6064D">
        <w:rPr>
          <w:rFonts w:ascii="Times New Roman" w:hAnsi="Times New Roman"/>
        </w:rPr>
        <w:t>New York City College of Technology</w:t>
      </w:r>
    </w:p>
    <w:p w:rsidR="002F297A" w:rsidRDefault="00A41E05" w:rsidP="00202EE2">
      <w:pPr>
        <w:spacing w:after="0" w:line="480" w:lineRule="auto"/>
        <w:jc w:val="center"/>
        <w:rPr>
          <w:rFonts w:ascii="Times New Roman" w:hAnsi="Times New Roman"/>
        </w:rPr>
      </w:pPr>
      <w:r w:rsidRPr="00C6064D">
        <w:rPr>
          <w:rFonts w:ascii="Times New Roman" w:hAnsi="Times New Roman"/>
        </w:rPr>
        <w:t>NUR 4090 OL40 Spring 2015</w:t>
      </w:r>
    </w:p>
    <w:p w:rsidR="00E96F63" w:rsidRDefault="00E96F63" w:rsidP="00202EE2">
      <w:pPr>
        <w:spacing w:after="0" w:line="480" w:lineRule="auto"/>
        <w:rPr>
          <w:rFonts w:ascii="Times New Roman" w:hAnsi="Times New Roman"/>
        </w:rPr>
      </w:pPr>
    </w:p>
    <w:p w:rsidR="00E96F63" w:rsidRDefault="00E96F63" w:rsidP="00202EE2">
      <w:pPr>
        <w:spacing w:after="0" w:line="480" w:lineRule="auto"/>
        <w:rPr>
          <w:rFonts w:ascii="Times New Roman" w:hAnsi="Times New Roman"/>
        </w:rPr>
      </w:pPr>
    </w:p>
    <w:p w:rsidR="00E96F63" w:rsidRDefault="00E96F63" w:rsidP="00202EE2">
      <w:pPr>
        <w:spacing w:after="0" w:line="480" w:lineRule="auto"/>
        <w:rPr>
          <w:rFonts w:ascii="Times New Roman" w:hAnsi="Times New Roman"/>
        </w:rPr>
      </w:pPr>
    </w:p>
    <w:p w:rsidR="00E96F63" w:rsidRDefault="00E96F63" w:rsidP="00202EE2">
      <w:pPr>
        <w:spacing w:after="0" w:line="480" w:lineRule="auto"/>
        <w:rPr>
          <w:rFonts w:ascii="Times New Roman" w:hAnsi="Times New Roman"/>
        </w:rPr>
      </w:pPr>
    </w:p>
    <w:p w:rsidR="00E96F63" w:rsidRDefault="00E96F63" w:rsidP="00202EE2">
      <w:pPr>
        <w:spacing w:after="0" w:line="480" w:lineRule="auto"/>
        <w:rPr>
          <w:rFonts w:ascii="Times New Roman" w:hAnsi="Times New Roman"/>
        </w:rPr>
      </w:pPr>
    </w:p>
    <w:p w:rsidR="000369AF" w:rsidRDefault="00E96F63" w:rsidP="00202EE2">
      <w:pPr>
        <w:spacing w:after="0" w:line="480" w:lineRule="auto"/>
        <w:rPr>
          <w:rFonts w:ascii="Times New Roman" w:hAnsi="Times New Roman"/>
        </w:rPr>
      </w:pPr>
      <w:r>
        <w:rPr>
          <w:rFonts w:ascii="Times New Roman" w:hAnsi="Times New Roman"/>
        </w:rPr>
        <w:br w:type="page"/>
      </w:r>
      <w:r w:rsidR="008E4FF9">
        <w:rPr>
          <w:rFonts w:ascii="Times New Roman" w:hAnsi="Times New Roman"/>
        </w:rPr>
        <w:t>1. What are the selected ethnic group’s unique cultural beliefs?</w:t>
      </w:r>
    </w:p>
    <w:p w:rsidR="008673E6" w:rsidRDefault="000369AF" w:rsidP="00202EE2">
      <w:pPr>
        <w:spacing w:after="0" w:line="480" w:lineRule="auto"/>
        <w:rPr>
          <w:rFonts w:ascii="Times New Roman" w:hAnsi="Times New Roman"/>
        </w:rPr>
      </w:pPr>
      <w:r>
        <w:rPr>
          <w:rFonts w:ascii="Times New Roman" w:hAnsi="Times New Roman"/>
        </w:rPr>
        <w:tab/>
        <w:t>According to Lynda Konecny (2012), the “older population in the United States (U.S.) are becoming increasingly diverse in terms of race and ethnic</w:t>
      </w:r>
      <w:r w:rsidR="00C72E99">
        <w:rPr>
          <w:rFonts w:ascii="Times New Roman" w:hAnsi="Times New Roman"/>
        </w:rPr>
        <w:t>ity” (</w:t>
      </w:r>
      <w:r w:rsidR="00DA2CAC">
        <w:rPr>
          <w:rFonts w:ascii="Times New Roman" w:hAnsi="Times New Roman"/>
        </w:rPr>
        <w:t>Konecny</w:t>
      </w:r>
      <w:r w:rsidR="00C72E99">
        <w:rPr>
          <w:rFonts w:ascii="Times New Roman" w:hAnsi="Times New Roman"/>
        </w:rPr>
        <w:t>,</w:t>
      </w:r>
      <w:r w:rsidR="00DA2CAC">
        <w:rPr>
          <w:rFonts w:ascii="Times New Roman" w:hAnsi="Times New Roman"/>
        </w:rPr>
        <w:t xml:space="preserve"> 2012,</w:t>
      </w:r>
      <w:r w:rsidR="00564B5F">
        <w:rPr>
          <w:rFonts w:ascii="Times New Roman" w:hAnsi="Times New Roman"/>
        </w:rPr>
        <w:t xml:space="preserve"> </w:t>
      </w:r>
      <w:r w:rsidR="00C72E99">
        <w:rPr>
          <w:rFonts w:ascii="Times New Roman" w:hAnsi="Times New Roman"/>
        </w:rPr>
        <w:t xml:space="preserve">slide </w:t>
      </w:r>
      <w:r>
        <w:rPr>
          <w:rFonts w:ascii="Times New Roman" w:hAnsi="Times New Roman"/>
        </w:rPr>
        <w:t>7).  It is expected that by the year 2050, “there will be a dramatic growth among Hispanic older adults, who will represent nearly 20% of the older population” (Eliopo</w:t>
      </w:r>
      <w:r w:rsidR="00C72E99">
        <w:rPr>
          <w:rFonts w:ascii="Times New Roman" w:hAnsi="Times New Roman"/>
        </w:rPr>
        <w:t>ulos, 2014, p. 24).  They will include a variety of people from different Spanish-speaking countries, such as Mexico, Cuba, South America, and Central Amer</w:t>
      </w:r>
      <w:r w:rsidR="003D3B5C">
        <w:rPr>
          <w:rFonts w:ascii="Times New Roman" w:hAnsi="Times New Roman"/>
        </w:rPr>
        <w:t>ica (Konecny, 2012, slide 62).  Therefore, it is continually becoming more imperative that as nurses, we “realize the importance of … the need to understand and value their health</w:t>
      </w:r>
      <w:r w:rsidR="00EE291D">
        <w:rPr>
          <w:rFonts w:ascii="Times New Roman" w:hAnsi="Times New Roman"/>
        </w:rPr>
        <w:t xml:space="preserve"> beliefs and practices” (Strunk, Townsend-Rocchiccioli, &amp; Sanford</w:t>
      </w:r>
      <w:r w:rsidR="003D3B5C">
        <w:rPr>
          <w:rFonts w:ascii="Times New Roman" w:hAnsi="Times New Roman"/>
        </w:rPr>
        <w:t>, 2013, p. 46).</w:t>
      </w:r>
    </w:p>
    <w:p w:rsidR="008673E6" w:rsidRPr="003E632B" w:rsidRDefault="008673E6" w:rsidP="00202EE2">
      <w:pPr>
        <w:spacing w:after="0" w:line="480" w:lineRule="auto"/>
        <w:ind w:firstLine="720"/>
        <w:rPr>
          <w:rFonts w:ascii="Times New Roman" w:hAnsi="Times New Roman"/>
        </w:rPr>
      </w:pPr>
      <w:r>
        <w:rPr>
          <w:rFonts w:ascii="Times New Roman" w:hAnsi="Times New Roman"/>
        </w:rPr>
        <w:t>According to Eli</w:t>
      </w:r>
      <w:r w:rsidR="00FB74B8">
        <w:rPr>
          <w:rFonts w:ascii="Times New Roman" w:hAnsi="Times New Roman"/>
        </w:rPr>
        <w:t>o</w:t>
      </w:r>
      <w:r>
        <w:rPr>
          <w:rFonts w:ascii="Times New Roman" w:hAnsi="Times New Roman"/>
        </w:rPr>
        <w:t xml:space="preserve">poulos, “many Hispanic people view states of health and illness as the actions of God (Eliopoulos, 2014, p. 25),” which also demonstrates a belief in a higher power and the existence of spiritual relationships.  </w:t>
      </w:r>
      <w:r w:rsidR="003E632B">
        <w:rPr>
          <w:rFonts w:ascii="Times New Roman" w:hAnsi="Times New Roman"/>
        </w:rPr>
        <w:t xml:space="preserve">With that being said, it has been reported that </w:t>
      </w:r>
      <w:r w:rsidR="003E632B">
        <w:rPr>
          <w:sz w:val="22"/>
          <w:szCs w:val="22"/>
        </w:rPr>
        <w:t>“</w:t>
      </w:r>
      <w:r>
        <w:rPr>
          <w:sz w:val="22"/>
          <w:szCs w:val="22"/>
        </w:rPr>
        <w:t>Hispanic belief that physical and mental illness results from an imbalan</w:t>
      </w:r>
      <w:r w:rsidR="003E632B">
        <w:rPr>
          <w:sz w:val="22"/>
          <w:szCs w:val="22"/>
        </w:rPr>
        <w:t>ce between the person and envi</w:t>
      </w:r>
      <w:r>
        <w:rPr>
          <w:sz w:val="22"/>
          <w:szCs w:val="22"/>
        </w:rPr>
        <w:t xml:space="preserve">ronment, and between </w:t>
      </w:r>
      <w:r w:rsidR="003E632B">
        <w:rPr>
          <w:iCs/>
          <w:sz w:val="22"/>
          <w:szCs w:val="22"/>
        </w:rPr>
        <w:t>hot</w:t>
      </w:r>
      <w:r>
        <w:rPr>
          <w:i/>
          <w:iCs/>
          <w:sz w:val="22"/>
          <w:szCs w:val="22"/>
        </w:rPr>
        <w:t xml:space="preserve"> </w:t>
      </w:r>
      <w:r>
        <w:rPr>
          <w:sz w:val="22"/>
          <w:szCs w:val="22"/>
        </w:rPr>
        <w:t xml:space="preserve">and </w:t>
      </w:r>
      <w:r w:rsidR="003E632B">
        <w:rPr>
          <w:iCs/>
          <w:sz w:val="22"/>
          <w:szCs w:val="22"/>
        </w:rPr>
        <w:t>cold” (Strunk</w:t>
      </w:r>
      <w:r w:rsidR="00564B5F">
        <w:rPr>
          <w:iCs/>
          <w:sz w:val="22"/>
          <w:szCs w:val="22"/>
        </w:rPr>
        <w:t xml:space="preserve"> et al.</w:t>
      </w:r>
      <w:r w:rsidR="003E632B">
        <w:rPr>
          <w:iCs/>
          <w:sz w:val="22"/>
          <w:szCs w:val="22"/>
        </w:rPr>
        <w:t>, 2013, p. 47).  Old age is of importance and is held in high regard in the Hispanic culture; this is apparent by the mere 7% rate of nursing home usage, which corroborates the idea that the caretaker r</w:t>
      </w:r>
      <w:r w:rsidR="00501C11">
        <w:rPr>
          <w:iCs/>
          <w:sz w:val="22"/>
          <w:szCs w:val="22"/>
        </w:rPr>
        <w:t>esponsibility will normally be with</w:t>
      </w:r>
      <w:r w:rsidR="003E632B">
        <w:rPr>
          <w:iCs/>
          <w:sz w:val="22"/>
          <w:szCs w:val="22"/>
        </w:rPr>
        <w:t xml:space="preserve"> </w:t>
      </w:r>
      <w:r w:rsidR="00501C11">
        <w:rPr>
          <w:iCs/>
          <w:sz w:val="22"/>
          <w:szCs w:val="22"/>
        </w:rPr>
        <w:t>the children of the older adult (Eliopoulos, 2014, p. 25).</w:t>
      </w:r>
      <w:r w:rsidR="001D0094">
        <w:rPr>
          <w:iCs/>
          <w:sz w:val="22"/>
          <w:szCs w:val="22"/>
        </w:rPr>
        <w:t xml:space="preserve">  </w:t>
      </w:r>
      <w:r w:rsidR="00FB74B8">
        <w:rPr>
          <w:iCs/>
          <w:sz w:val="22"/>
          <w:szCs w:val="22"/>
        </w:rPr>
        <w:t>Occasionally,</w:t>
      </w:r>
      <w:r w:rsidR="00CD43D3">
        <w:rPr>
          <w:iCs/>
          <w:sz w:val="22"/>
          <w:szCs w:val="22"/>
        </w:rPr>
        <w:t xml:space="preserve"> “direct eye contact is seen as rude and disrespectful” amongst Hispanic Americans (Konecny, 2012, slide 31). </w:t>
      </w:r>
      <w:r w:rsidR="001D0094">
        <w:rPr>
          <w:iCs/>
          <w:sz w:val="22"/>
          <w:szCs w:val="22"/>
        </w:rPr>
        <w:t>In regards to truth-telling, it has been found that many “Mexican American clients are unlikely to want to be told they are dying” and choose to opt out of making any decisions with their end-of-care (Konecny, 2012, slide</w:t>
      </w:r>
      <w:r w:rsidR="00CD43D3">
        <w:rPr>
          <w:iCs/>
          <w:sz w:val="22"/>
          <w:szCs w:val="22"/>
        </w:rPr>
        <w:t xml:space="preserve"> </w:t>
      </w:r>
      <w:r w:rsidR="001D0094">
        <w:rPr>
          <w:iCs/>
          <w:sz w:val="22"/>
          <w:szCs w:val="22"/>
        </w:rPr>
        <w:t xml:space="preserve">60).  </w:t>
      </w:r>
      <w:r w:rsidR="00CD43D3">
        <w:rPr>
          <w:iCs/>
          <w:sz w:val="22"/>
          <w:szCs w:val="22"/>
        </w:rPr>
        <w:t>Studies suggest that South American and Mexican cultures believe “that speaking about death can bring it closer” (Konecny, 2012, p. 60).</w:t>
      </w:r>
      <w:r w:rsidR="007E68B0">
        <w:rPr>
          <w:iCs/>
          <w:sz w:val="22"/>
          <w:szCs w:val="22"/>
        </w:rPr>
        <w:t xml:space="preserve">  </w:t>
      </w:r>
    </w:p>
    <w:p w:rsidR="008B0692" w:rsidRDefault="008E4FF9" w:rsidP="00202EE2">
      <w:pPr>
        <w:spacing w:after="0" w:line="480" w:lineRule="auto"/>
        <w:rPr>
          <w:rFonts w:ascii="Times New Roman" w:hAnsi="Times New Roman"/>
        </w:rPr>
      </w:pPr>
      <w:r>
        <w:rPr>
          <w:rFonts w:ascii="Times New Roman" w:hAnsi="Times New Roman"/>
        </w:rPr>
        <w:t>2. What are the selected ethnic group’s unique cultural values?</w:t>
      </w:r>
    </w:p>
    <w:p w:rsidR="008E4FF9" w:rsidRDefault="008B0692" w:rsidP="00202EE2">
      <w:pPr>
        <w:spacing w:after="0" w:line="480" w:lineRule="auto"/>
        <w:rPr>
          <w:rFonts w:ascii="Times New Roman" w:hAnsi="Times New Roman"/>
        </w:rPr>
      </w:pPr>
      <w:r>
        <w:rPr>
          <w:rFonts w:ascii="Times New Roman" w:hAnsi="Times New Roman"/>
        </w:rPr>
        <w:tab/>
        <w:t>H</w:t>
      </w:r>
      <w:r w:rsidR="00DA2CAC">
        <w:rPr>
          <w:rFonts w:ascii="Times New Roman" w:hAnsi="Times New Roman"/>
        </w:rPr>
        <w:t xml:space="preserve">ispanic cultural values promote </w:t>
      </w:r>
      <w:r>
        <w:rPr>
          <w:rFonts w:ascii="Times New Roman" w:hAnsi="Times New Roman"/>
        </w:rPr>
        <w:t>a “high emphasis on family closeness, close inte</w:t>
      </w:r>
      <w:r w:rsidR="001D0094">
        <w:rPr>
          <w:rFonts w:ascii="Times New Roman" w:hAnsi="Times New Roman"/>
        </w:rPr>
        <w:t>rpersonal family relations, respect from adults, and traditional gender roles” (Lorenzo-B</w:t>
      </w:r>
      <w:r w:rsidR="00564B5F">
        <w:rPr>
          <w:rFonts w:ascii="Times New Roman" w:hAnsi="Times New Roman"/>
        </w:rPr>
        <w:t xml:space="preserve">lanco, Unger, &amp; </w:t>
      </w:r>
      <w:r w:rsidR="00564B5F" w:rsidRPr="00330D24">
        <w:rPr>
          <w:rFonts w:ascii="Times New Roman" w:eastAsiaTheme="minorHAnsi" w:hAnsi="Times New Roman" w:cs="Helvetica"/>
          <w:color w:val="262626"/>
        </w:rPr>
        <w:t>Baezconde-Garbanati</w:t>
      </w:r>
      <w:r w:rsidR="00DA2CAC">
        <w:rPr>
          <w:rFonts w:ascii="Times New Roman" w:hAnsi="Times New Roman"/>
        </w:rPr>
        <w:t xml:space="preserve">, 2012, p. 1352).  The following cultural values have been identified by Hispanic Americans: </w:t>
      </w:r>
      <w:r w:rsidR="00DA2CAC" w:rsidRPr="00FB74B8">
        <w:rPr>
          <w:rFonts w:ascii="Times New Roman" w:hAnsi="Times New Roman"/>
          <w:i/>
        </w:rPr>
        <w:t>familisimo</w:t>
      </w:r>
      <w:r w:rsidR="00DA2CAC">
        <w:rPr>
          <w:rFonts w:ascii="Times New Roman" w:hAnsi="Times New Roman"/>
        </w:rPr>
        <w:t xml:space="preserve">, which “emphasizes trust between family members, loyalty to the family, and a general orientation to the family,” </w:t>
      </w:r>
      <w:r w:rsidR="00DA2CAC" w:rsidRPr="00FB74B8">
        <w:rPr>
          <w:rFonts w:ascii="Times New Roman" w:hAnsi="Times New Roman"/>
          <w:i/>
        </w:rPr>
        <w:t>respeto</w:t>
      </w:r>
      <w:r w:rsidR="00DA2CAC">
        <w:rPr>
          <w:rFonts w:ascii="Times New Roman" w:hAnsi="Times New Roman"/>
        </w:rPr>
        <w:t xml:space="preserve">, “governs </w:t>
      </w:r>
      <w:r w:rsidR="00B84E56">
        <w:rPr>
          <w:rFonts w:ascii="Times New Roman" w:hAnsi="Times New Roman"/>
        </w:rPr>
        <w:t xml:space="preserve">positive reciprocal interpersonal relations and dictates deferential behavior towards family, thereby maintaining family harmony,” and </w:t>
      </w:r>
      <w:r w:rsidR="00B84E56" w:rsidRPr="00FB74B8">
        <w:rPr>
          <w:rFonts w:ascii="Times New Roman" w:hAnsi="Times New Roman"/>
          <w:i/>
        </w:rPr>
        <w:t>fatalisimo</w:t>
      </w:r>
      <w:r w:rsidR="00B84E56">
        <w:rPr>
          <w:rFonts w:ascii="Times New Roman" w:hAnsi="Times New Roman"/>
        </w:rPr>
        <w:t>, which “encompasses the belief that one is powerless in altering negative life circumstances” and “has been described as promoting social support and belonging” (Lorenzo-Blanco, et al., 2012, p. 1352).</w:t>
      </w:r>
      <w:r w:rsidR="00A93D64">
        <w:rPr>
          <w:rFonts w:ascii="Times New Roman" w:hAnsi="Times New Roman"/>
        </w:rPr>
        <w:t xml:space="preserve">  </w:t>
      </w:r>
    </w:p>
    <w:p w:rsidR="00D46371" w:rsidRDefault="008E4FF9" w:rsidP="00202EE2">
      <w:pPr>
        <w:spacing w:after="0" w:line="480" w:lineRule="auto"/>
        <w:rPr>
          <w:rFonts w:ascii="Times New Roman" w:hAnsi="Times New Roman"/>
        </w:rPr>
      </w:pPr>
      <w:r>
        <w:rPr>
          <w:rFonts w:ascii="Times New Roman" w:hAnsi="Times New Roman"/>
        </w:rPr>
        <w:t>3. What are the selected ethnic group’s unique traditions and/or practices?</w:t>
      </w:r>
    </w:p>
    <w:p w:rsidR="006B513D" w:rsidRDefault="00D46371" w:rsidP="00202EE2">
      <w:pPr>
        <w:spacing w:after="0" w:line="480" w:lineRule="auto"/>
        <w:rPr>
          <w:rFonts w:ascii="Times New Roman" w:hAnsi="Times New Roman"/>
        </w:rPr>
      </w:pPr>
      <w:r>
        <w:rPr>
          <w:rFonts w:ascii="Times New Roman" w:hAnsi="Times New Roman"/>
        </w:rPr>
        <w:tab/>
      </w:r>
      <w:r w:rsidR="00AB1729">
        <w:rPr>
          <w:rFonts w:ascii="Times New Roman" w:hAnsi="Times New Roman"/>
        </w:rPr>
        <w:t>As per Eliopoulos (2014), many Hispanic Americans choose to utilize “trad</w:t>
      </w:r>
      <w:r w:rsidR="007E68B0">
        <w:rPr>
          <w:rFonts w:ascii="Times New Roman" w:hAnsi="Times New Roman"/>
        </w:rPr>
        <w:t>itional practitioners” such as Curanderos, Sobadoras, Espiritualistas, Brujos, and S</w:t>
      </w:r>
      <w:r w:rsidR="00AB1729">
        <w:rPr>
          <w:rFonts w:ascii="Times New Roman" w:hAnsi="Times New Roman"/>
        </w:rPr>
        <w:t xml:space="preserve">enoras in place of or in conjunction with traditional Western medicine and its providers (p. 25). </w:t>
      </w:r>
      <w:r w:rsidR="00037BC3">
        <w:rPr>
          <w:rFonts w:ascii="Times New Roman" w:hAnsi="Times New Roman"/>
        </w:rPr>
        <w:t xml:space="preserve"> Therefore, there are “more than one fourth of Hispanic adults in the United States lack[ing] a usual health care provider” (Livingston, Minushkin, &amp; Cohn, 2008, p. 4).  In response to the belief that God can reward a person with good health, many Hispanics may wear “medals and crosses…to facilitate wellbeing, and prayer plays an important part in the healing process” (Eliopoulos, 2014, p. 25).</w:t>
      </w:r>
      <w:r w:rsidR="006B513D">
        <w:rPr>
          <w:rFonts w:ascii="Times New Roman" w:hAnsi="Times New Roman"/>
        </w:rPr>
        <w:t xml:space="preserve">  Many of the subgroups believe that illness results from a “body imbalance between caliente (hot) and frio (cold) or “wet” and “dry,”” with Cubans believing that “good health results from prevention and good nutrition” (Estes, 2010, p. 137).  </w:t>
      </w:r>
      <w:r w:rsidR="0000319C">
        <w:rPr>
          <w:rFonts w:ascii="Times New Roman" w:hAnsi="Times New Roman"/>
        </w:rPr>
        <w:t>As per Estes (2010), it is also common practice for Hispanics to “prevent and treat illness with “hot” and “cold” food prescriptions and prohibitions” (p. 135).</w:t>
      </w:r>
    </w:p>
    <w:p w:rsidR="007204B9" w:rsidRDefault="007E68B0" w:rsidP="00202EE2">
      <w:pPr>
        <w:spacing w:after="0" w:line="480" w:lineRule="auto"/>
        <w:ind w:firstLine="720"/>
        <w:rPr>
          <w:rFonts w:ascii="Times New Roman" w:hAnsi="Times New Roman"/>
        </w:rPr>
      </w:pPr>
      <w:r>
        <w:rPr>
          <w:rFonts w:ascii="Times New Roman" w:hAnsi="Times New Roman"/>
        </w:rPr>
        <w:t xml:space="preserve">During living years, older Hispanic adults are usually practicing Roman Catholics who believe in both and afterlife and possibility of resurrection after death (Konecny, 2012, slide 83).  As previously noted, it is highly likely that family members will become caretakers and be responsible in making decisions on behalf of the older adult (Konecny, 2012, slide 83). </w:t>
      </w:r>
      <w:r w:rsidR="006139BF">
        <w:rPr>
          <w:rFonts w:ascii="Times New Roman" w:hAnsi="Times New Roman"/>
        </w:rPr>
        <w:t xml:space="preserve"> Although people of this culture usually have “an expressive style, there can be an expectation of stoicism in the face of suffering” amongst older adult clients typically due to a fear of becoming addicted to pain relievers that may be administered (Konecny, 2012, slide 56).  In accordance with this, family members of the deceased older Hispanic adult may exhibit an “open display of emotion” and “extended grieving” (Konecny, 2012, slide 83).  Also, it is not uncommon for these family members to “want to pr</w:t>
      </w:r>
      <w:r w:rsidR="00577E61">
        <w:rPr>
          <w:rFonts w:ascii="Times New Roman" w:hAnsi="Times New Roman"/>
        </w:rPr>
        <w:t>epare [the] body” and host “prolonged wakes” (Konecny, 2012, slide 83).</w:t>
      </w:r>
    </w:p>
    <w:p w:rsidR="008E4FF9" w:rsidRDefault="007204B9" w:rsidP="00202EE2">
      <w:pPr>
        <w:spacing w:after="0" w:line="480" w:lineRule="auto"/>
        <w:rPr>
          <w:rFonts w:ascii="Times New Roman" w:hAnsi="Times New Roman"/>
        </w:rPr>
      </w:pPr>
      <w:r>
        <w:rPr>
          <w:rFonts w:ascii="Times New Roman" w:hAnsi="Times New Roman"/>
        </w:rPr>
        <w:tab/>
      </w:r>
      <w:r w:rsidR="006B513D">
        <w:rPr>
          <w:rFonts w:ascii="Times New Roman" w:hAnsi="Times New Roman"/>
        </w:rPr>
        <w:t>In a brief description of the individual subcultures, Estes notes that Mexicans are mostly bilingual, “consider prolonged eye contact disrespectful,” and have a “relaxed concept of time”</w:t>
      </w:r>
      <w:r w:rsidR="0000319C">
        <w:rPr>
          <w:rFonts w:ascii="Times New Roman" w:hAnsi="Times New Roman"/>
        </w:rPr>
        <w:t xml:space="preserve"> in regards to relationships, including work</w:t>
      </w:r>
      <w:r w:rsidR="006B513D">
        <w:rPr>
          <w:rFonts w:ascii="Times New Roman" w:hAnsi="Times New Roman"/>
        </w:rPr>
        <w:t xml:space="preserve"> (Estes, 2</w:t>
      </w:r>
      <w:r w:rsidR="0000319C">
        <w:rPr>
          <w:rFonts w:ascii="Times New Roman" w:hAnsi="Times New Roman"/>
        </w:rPr>
        <w:t>010, p. 135).  Whether or not Puerto Ricans speak Spanish or English depends on the length of time spent in America; the longer time they have been in the United States the more likely they are to speak English or be bilingual versus strictly Spanish-speaking</w:t>
      </w:r>
      <w:r w:rsidR="00F860EF">
        <w:rPr>
          <w:rFonts w:ascii="Times New Roman" w:hAnsi="Times New Roman"/>
        </w:rPr>
        <w:t>, whereas Cuban Americans are more likely to be bilingual upon arrival</w:t>
      </w:r>
      <w:r w:rsidR="0000319C">
        <w:rPr>
          <w:rFonts w:ascii="Times New Roman" w:hAnsi="Times New Roman"/>
        </w:rPr>
        <w:t xml:space="preserve"> (Estes, 2010, p. 136).  Amongst this “paternalistic” subgroup, “personal and family privacy [is] valued, and they “tend to have a relaxed sense of time” in relation to their communication styles (Estes, 2010, p</w:t>
      </w:r>
      <w:r w:rsidR="00F860EF">
        <w:rPr>
          <w:rFonts w:ascii="Times New Roman" w:hAnsi="Times New Roman"/>
        </w:rPr>
        <w:t xml:space="preserve">. 136).  </w:t>
      </w:r>
    </w:p>
    <w:p w:rsidR="00B00427" w:rsidRDefault="008E4FF9" w:rsidP="00202EE2">
      <w:pPr>
        <w:spacing w:after="0" w:line="480" w:lineRule="auto"/>
        <w:rPr>
          <w:rFonts w:ascii="Times New Roman" w:hAnsi="Times New Roman"/>
        </w:rPr>
      </w:pPr>
      <w:r>
        <w:rPr>
          <w:rFonts w:ascii="Times New Roman" w:hAnsi="Times New Roman"/>
        </w:rPr>
        <w:t>4. What are the selected ethnic group’s unique health-related needs/problems?</w:t>
      </w:r>
    </w:p>
    <w:p w:rsidR="006403D2" w:rsidRDefault="00B9080E" w:rsidP="00202EE2">
      <w:pPr>
        <w:spacing w:after="0" w:line="480" w:lineRule="auto"/>
        <w:ind w:firstLine="720"/>
        <w:rPr>
          <w:rFonts w:ascii="Times New Roman" w:hAnsi="Times New Roman"/>
        </w:rPr>
      </w:pPr>
      <w:r>
        <w:rPr>
          <w:rFonts w:ascii="Times New Roman" w:hAnsi="Times New Roman"/>
        </w:rPr>
        <w:t xml:space="preserve">Hispanic Americans are faced with several health-related needs and problems.  According to Livingston et al. (2013), many Hispanics are overweight, a finding that is likely to increase the prevalence of diabetes in this population (p. 4).  A potential problem is that approximately 83 percent of the Hispanic receives health information (that has an effect on their current health practices) from a form of media, most significantly from television (Livingston, 2013, p. 27) in place of visiting a practitioner at an actual healthcare facility.  </w:t>
      </w:r>
      <w:r w:rsidR="00AC5DC2">
        <w:rPr>
          <w:rFonts w:ascii="Times New Roman" w:hAnsi="Times New Roman"/>
        </w:rPr>
        <w:t>This can in fact have an effect on level of knowledge regarding prevalent diseases in this population, such as diabetes.  Livingston et al. (2013), reports that in conjunction with healthcare access, language, and education level, “nativity and assimilation are associated with higher levels of diabetes knowledge” (p. 36).  Lastly, it is important to address a possibly problematic health issue: alcohol consumption by Hispanic Americans.  It has been found that Hispanic Americans consume less alcohol, in general, than non-Hispanic whites, however, “Hispanics who choose to drink are more likely to consume higher volumes of alcohol than non-Hispanic whites” (</w:t>
      </w:r>
      <w:r w:rsidR="00202EE2">
        <w:rPr>
          <w:rFonts w:ascii="Times New Roman" w:hAnsi="Times New Roman"/>
        </w:rPr>
        <w:t>National Institute on Alcohol Abuse and Alcoholism, 2013).</w:t>
      </w:r>
    </w:p>
    <w:p w:rsidR="00C459D2" w:rsidRDefault="008E4FF9" w:rsidP="00202EE2">
      <w:pPr>
        <w:spacing w:after="0" w:line="480" w:lineRule="auto"/>
        <w:rPr>
          <w:rFonts w:ascii="Times New Roman" w:hAnsi="Times New Roman"/>
        </w:rPr>
      </w:pPr>
      <w:r>
        <w:rPr>
          <w:rFonts w:ascii="Times New Roman" w:hAnsi="Times New Roman"/>
        </w:rPr>
        <w:t>5. What are the selected ethnic group’s health-related experiences?</w:t>
      </w:r>
    </w:p>
    <w:p w:rsidR="0049590D" w:rsidRDefault="00C459D2" w:rsidP="00202EE2">
      <w:pPr>
        <w:spacing w:after="0" w:line="480" w:lineRule="auto"/>
        <w:rPr>
          <w:rFonts w:ascii="Times New Roman" w:hAnsi="Times New Roman"/>
        </w:rPr>
      </w:pPr>
      <w:r>
        <w:rPr>
          <w:rFonts w:ascii="Times New Roman" w:hAnsi="Times New Roman"/>
        </w:rPr>
        <w:tab/>
        <w:t>Hispanic Americans health-related e</w:t>
      </w:r>
      <w:r w:rsidR="00E1510D">
        <w:rPr>
          <w:rFonts w:ascii="Times New Roman" w:hAnsi="Times New Roman"/>
        </w:rPr>
        <w:t>xperiences are a</w:t>
      </w:r>
      <w:r>
        <w:rPr>
          <w:rFonts w:ascii="Times New Roman" w:hAnsi="Times New Roman"/>
        </w:rPr>
        <w:t>ffected by numerous challenges presented during care, such as “numerous health issues, language difficulties, differences in cultural beliefs and practices, and the loss of social suppor</w:t>
      </w:r>
      <w:r w:rsidR="00EE291D">
        <w:rPr>
          <w:rFonts w:ascii="Times New Roman" w:hAnsi="Times New Roman"/>
        </w:rPr>
        <w:t xml:space="preserve">ts” (Strunk </w:t>
      </w:r>
      <w:r w:rsidR="00C033DC">
        <w:rPr>
          <w:rFonts w:ascii="Times New Roman" w:hAnsi="Times New Roman"/>
        </w:rPr>
        <w:t>et al., 2013, p. 46</w:t>
      </w:r>
      <w:r>
        <w:rPr>
          <w:rFonts w:ascii="Times New Roman" w:hAnsi="Times New Roman"/>
        </w:rPr>
        <w:t xml:space="preserve">).  According to </w:t>
      </w:r>
      <w:r w:rsidR="00C033DC">
        <w:rPr>
          <w:rFonts w:ascii="Times New Roman" w:hAnsi="Times New Roman"/>
        </w:rPr>
        <w:t>Livingston, et al., “more than three-quarters of Hispanics who have had medical care within the past year rate it as good to excellent: 32 percent say it was excellent, and 46 percent say it was good” (p. 22).  Nonetheless, there were approximately 17 percent who rated their care as being “fair” and about 4 percent that found it to be “poor” (Liv</w:t>
      </w:r>
      <w:r w:rsidR="00EE291D">
        <w:rPr>
          <w:rFonts w:ascii="Times New Roman" w:hAnsi="Times New Roman"/>
        </w:rPr>
        <w:t>ingston</w:t>
      </w:r>
      <w:r w:rsidR="00C033DC">
        <w:rPr>
          <w:rFonts w:ascii="Times New Roman" w:hAnsi="Times New Roman"/>
        </w:rPr>
        <w:t xml:space="preserve"> et al., 2013, p. 23).  Of those who reported perceived poor care, reasons included “inability to pay…their race or ethnicity…[and] their accent or how </w:t>
      </w:r>
      <w:r w:rsidR="00EE291D">
        <w:rPr>
          <w:rFonts w:ascii="Times New Roman" w:hAnsi="Times New Roman"/>
        </w:rPr>
        <w:t>they speak English” (Livingston</w:t>
      </w:r>
      <w:r w:rsidR="00C033DC">
        <w:rPr>
          <w:rFonts w:ascii="Times New Roman" w:hAnsi="Times New Roman"/>
        </w:rPr>
        <w:t xml:space="preserve"> et al., 2013, p. 24).  </w:t>
      </w:r>
      <w:r w:rsidR="00B6560A">
        <w:rPr>
          <w:rFonts w:ascii="Times New Roman" w:hAnsi="Times New Roman"/>
        </w:rPr>
        <w:t>It has been found that, “although access to health care does not account for disparities in their entirety, physicians and health care workers do contribute to a portion of disparity problems” along with “institutionalized discrimination, where policies and procedures make it harder for health care professional to provide equal care to disenf</w:t>
      </w:r>
      <w:r w:rsidR="00EE291D">
        <w:rPr>
          <w:rFonts w:ascii="Times New Roman" w:hAnsi="Times New Roman"/>
        </w:rPr>
        <w:t xml:space="preserve">ranchised individuals” (Strunk </w:t>
      </w:r>
      <w:r w:rsidR="00B6560A">
        <w:rPr>
          <w:rFonts w:ascii="Times New Roman" w:hAnsi="Times New Roman"/>
        </w:rPr>
        <w:t xml:space="preserve">et al., 2013, p. 46).  </w:t>
      </w:r>
      <w:r w:rsidR="00E1510D">
        <w:rPr>
          <w:rFonts w:ascii="Times New Roman" w:hAnsi="Times New Roman"/>
        </w:rPr>
        <w:t>The lack of legal employment provided to Hispanic immigrants is often indicative of their access to healthcare and high poverty level compared to non-Hispanic whites, which in turn will leave older Hispanic adults (65 years and over) with few resources post-retirement, increasing their likelihood of becoming or remaining poor and without access t</w:t>
      </w:r>
      <w:r w:rsidR="00FB74B8">
        <w:rPr>
          <w:rFonts w:ascii="Times New Roman" w:hAnsi="Times New Roman"/>
        </w:rPr>
        <w:t>o proper healthcare. (St</w:t>
      </w:r>
      <w:r w:rsidR="00EA32BC">
        <w:rPr>
          <w:rFonts w:ascii="Times New Roman" w:hAnsi="Times New Roman"/>
        </w:rPr>
        <w:t>runk</w:t>
      </w:r>
      <w:r w:rsidR="00C06104">
        <w:rPr>
          <w:rFonts w:ascii="Times New Roman" w:hAnsi="Times New Roman"/>
        </w:rPr>
        <w:t xml:space="preserve"> et al., </w:t>
      </w:r>
      <w:r w:rsidR="00E1510D">
        <w:rPr>
          <w:rFonts w:ascii="Times New Roman" w:hAnsi="Times New Roman"/>
        </w:rPr>
        <w:t>2013).</w:t>
      </w:r>
      <w:r w:rsidR="00C06104">
        <w:rPr>
          <w:rFonts w:ascii="Times New Roman" w:hAnsi="Times New Roman"/>
        </w:rPr>
        <w:t xml:space="preserve"> </w:t>
      </w:r>
    </w:p>
    <w:p w:rsidR="00EA32BC" w:rsidRDefault="008E4FF9" w:rsidP="00202EE2">
      <w:pPr>
        <w:spacing w:after="0" w:line="480" w:lineRule="auto"/>
        <w:rPr>
          <w:rFonts w:ascii="Times New Roman" w:hAnsi="Times New Roman"/>
        </w:rPr>
      </w:pPr>
      <w:r>
        <w:rPr>
          <w:rFonts w:ascii="Times New Roman" w:hAnsi="Times New Roman"/>
        </w:rPr>
        <w:t>6. What are the selected ethnic group’s health risks?</w:t>
      </w:r>
    </w:p>
    <w:p w:rsidR="008E4FF9" w:rsidRDefault="00EA32BC" w:rsidP="00202EE2">
      <w:pPr>
        <w:spacing w:after="0" w:line="480" w:lineRule="auto"/>
        <w:rPr>
          <w:rFonts w:ascii="Times New Roman" w:hAnsi="Times New Roman"/>
        </w:rPr>
      </w:pPr>
      <w:r>
        <w:rPr>
          <w:rFonts w:ascii="Times New Roman" w:hAnsi="Times New Roman"/>
        </w:rPr>
        <w:tab/>
        <w:t>As per Livingston, et al., Hispanics “have a lower prevalence of many chronic health conditions that the U.S. adult population as a whole,” however, “they have a higher prevalence of diabetes than do non-Hispanic white adults, and they are more likely to be overweight” (2013, p. 4).  It is also found that Hispanics are more genetically predisposed to cleft lips or palates, hypertension (Mexican American, Latino, Chicano</w:t>
      </w:r>
      <w:r w:rsidR="003C15C4">
        <w:rPr>
          <w:rFonts w:ascii="Times New Roman" w:hAnsi="Times New Roman"/>
        </w:rPr>
        <w:t>)</w:t>
      </w:r>
      <w:r>
        <w:rPr>
          <w:rFonts w:ascii="Times New Roman" w:hAnsi="Times New Roman"/>
        </w:rPr>
        <w:t xml:space="preserve"> and malignant osteoporosis (Costa Rican)</w:t>
      </w:r>
      <w:r w:rsidR="003C15C4">
        <w:rPr>
          <w:rFonts w:ascii="Times New Roman" w:hAnsi="Times New Roman"/>
        </w:rPr>
        <w:t xml:space="preserve"> (Estes, 2010, p. 126).  </w:t>
      </w:r>
    </w:p>
    <w:p w:rsidR="00494777" w:rsidRDefault="008E4FF9" w:rsidP="00202EE2">
      <w:pPr>
        <w:spacing w:after="0" w:line="480" w:lineRule="auto"/>
        <w:rPr>
          <w:rFonts w:ascii="Times New Roman" w:hAnsi="Times New Roman"/>
        </w:rPr>
      </w:pPr>
      <w:r>
        <w:rPr>
          <w:rFonts w:ascii="Times New Roman" w:hAnsi="Times New Roman"/>
        </w:rPr>
        <w:t>7. Wha</w:t>
      </w:r>
      <w:r w:rsidR="00E1510D">
        <w:rPr>
          <w:rFonts w:ascii="Times New Roman" w:hAnsi="Times New Roman"/>
        </w:rPr>
        <w:t>t are the selected margi</w:t>
      </w:r>
      <w:r>
        <w:rPr>
          <w:rFonts w:ascii="Times New Roman" w:hAnsi="Times New Roman"/>
        </w:rPr>
        <w:t>nalized group’s unique lifestyles?</w:t>
      </w:r>
    </w:p>
    <w:p w:rsidR="008E4FF9" w:rsidRDefault="00494777" w:rsidP="00202EE2">
      <w:pPr>
        <w:spacing w:after="0" w:line="480" w:lineRule="auto"/>
        <w:rPr>
          <w:rFonts w:ascii="Times New Roman" w:hAnsi="Times New Roman"/>
        </w:rPr>
      </w:pPr>
      <w:r>
        <w:rPr>
          <w:rFonts w:ascii="Times New Roman" w:hAnsi="Times New Roman"/>
        </w:rPr>
        <w:tab/>
        <w:t xml:space="preserve">As per Eliopoulos (2014), we have become more conscious of the gay community and its growing population, and approximately 10 percent of the population currently identifies as being part of the LGBT community.  Older adults within this population were once subjected to severe prejudices causing many of them to remain enigmatic </w:t>
      </w:r>
      <w:r w:rsidR="00DD6DC5">
        <w:rPr>
          <w:rFonts w:ascii="Times New Roman" w:hAnsi="Times New Roman"/>
        </w:rPr>
        <w:t xml:space="preserve">about their sexual orientations (Eliopoulos, 2014, p. 30-31).  According to Konecny (2012), gay people often “age feeling socially isolated, fearing discrimination from healthcare practitioners, living alone, and do not have children to help in their care” (slide 58).  </w:t>
      </w:r>
    </w:p>
    <w:p w:rsidR="00277249" w:rsidRDefault="008E4FF9" w:rsidP="00202EE2">
      <w:pPr>
        <w:spacing w:after="0" w:line="480" w:lineRule="auto"/>
        <w:rPr>
          <w:rFonts w:ascii="Times New Roman" w:hAnsi="Times New Roman"/>
        </w:rPr>
      </w:pPr>
      <w:r>
        <w:rPr>
          <w:rFonts w:ascii="Times New Roman" w:hAnsi="Times New Roman"/>
        </w:rPr>
        <w:t xml:space="preserve">8. What are </w:t>
      </w:r>
      <w:r w:rsidR="00E1510D">
        <w:rPr>
          <w:rFonts w:ascii="Times New Roman" w:hAnsi="Times New Roman"/>
        </w:rPr>
        <w:t>the selected margi</w:t>
      </w:r>
      <w:r w:rsidR="00C53F62">
        <w:rPr>
          <w:rFonts w:ascii="Times New Roman" w:hAnsi="Times New Roman"/>
        </w:rPr>
        <w:t>nalized group’s health-related needs/problems?</w:t>
      </w:r>
    </w:p>
    <w:p w:rsidR="00C53F62" w:rsidRDefault="00277249" w:rsidP="00202EE2">
      <w:pPr>
        <w:spacing w:after="0" w:line="480" w:lineRule="auto"/>
        <w:rPr>
          <w:rFonts w:ascii="Times New Roman" w:hAnsi="Times New Roman"/>
        </w:rPr>
      </w:pPr>
      <w:r>
        <w:rPr>
          <w:rFonts w:ascii="Times New Roman" w:hAnsi="Times New Roman"/>
        </w:rPr>
        <w:tab/>
      </w:r>
      <w:r w:rsidR="001649D9">
        <w:rPr>
          <w:rFonts w:ascii="Times New Roman" w:hAnsi="Times New Roman"/>
        </w:rPr>
        <w:t>Eliopoulos (2014)</w:t>
      </w:r>
      <w:r w:rsidR="00202EE2">
        <w:rPr>
          <w:rFonts w:ascii="Times New Roman" w:hAnsi="Times New Roman"/>
        </w:rPr>
        <w:t xml:space="preserve"> reports that </w:t>
      </w:r>
      <w:r w:rsidR="001649D9">
        <w:rPr>
          <w:rFonts w:ascii="Times New Roman" w:hAnsi="Times New Roman"/>
        </w:rPr>
        <w:t>r</w:t>
      </w:r>
      <w:r>
        <w:rPr>
          <w:rFonts w:ascii="Times New Roman" w:hAnsi="Times New Roman"/>
        </w:rPr>
        <w:t>ecent years have shown some progression in dealing with the needs of gay individuals and the gay community with the creation of many associations, programs, and networks that work to advocate for the equality and ot</w:t>
      </w:r>
      <w:r w:rsidR="00B61CAA">
        <w:rPr>
          <w:rFonts w:ascii="Times New Roman" w:hAnsi="Times New Roman"/>
        </w:rPr>
        <w:t>her needs of this population (p. 31).  According to the School of Medicine at Vanderbilt University (2012), “men who have sex with men and gay men are at increased risk for certain types of chronic diseases</w:t>
      </w:r>
      <w:r w:rsidR="005C062F">
        <w:rPr>
          <w:rFonts w:ascii="Times New Roman" w:hAnsi="Times New Roman"/>
        </w:rPr>
        <w:t xml:space="preserve">, cancers, and mental health problems.”  </w:t>
      </w:r>
      <w:r w:rsidR="00272014">
        <w:rPr>
          <w:rFonts w:ascii="Times New Roman" w:hAnsi="Times New Roman"/>
        </w:rPr>
        <w:t>There also exists a higher prevalence of smoking and drinking when compared to the heterosexual population.  Reports of victimization, denial of or receipt of inferior care, and the feeling</w:t>
      </w:r>
      <w:r w:rsidR="00061442">
        <w:rPr>
          <w:rFonts w:ascii="Times New Roman" w:hAnsi="Times New Roman"/>
        </w:rPr>
        <w:t>s</w:t>
      </w:r>
      <w:r w:rsidR="00272014">
        <w:rPr>
          <w:rFonts w:ascii="Times New Roman" w:hAnsi="Times New Roman"/>
        </w:rPr>
        <w:t xml:space="preserve"> of having to conceal</w:t>
      </w:r>
      <w:r w:rsidR="00061442">
        <w:rPr>
          <w:rFonts w:ascii="Times New Roman" w:hAnsi="Times New Roman"/>
        </w:rPr>
        <w:t xml:space="preserve"> their</w:t>
      </w:r>
      <w:r w:rsidR="00272014">
        <w:rPr>
          <w:rFonts w:ascii="Times New Roman" w:hAnsi="Times New Roman"/>
        </w:rPr>
        <w:t xml:space="preserve"> sexual identity continue to propagate amongst</w:t>
      </w:r>
      <w:r w:rsidR="00EE291D">
        <w:rPr>
          <w:rFonts w:ascii="Times New Roman" w:hAnsi="Times New Roman"/>
        </w:rPr>
        <w:t xml:space="preserve"> the older adult gay population (p. 31).</w:t>
      </w:r>
      <w:r w:rsidR="005C062F">
        <w:rPr>
          <w:rFonts w:ascii="Times New Roman" w:hAnsi="Times New Roman"/>
        </w:rPr>
        <w:t xml:space="preserve">  The prevalence of HIV/AIDS among gay men continues to be of epidemic proportions, and they “should g</w:t>
      </w:r>
      <w:r w:rsidR="009140B0">
        <w:rPr>
          <w:rFonts w:ascii="Times New Roman" w:hAnsi="Times New Roman"/>
        </w:rPr>
        <w:t>et regular HIV tests and approp</w:t>
      </w:r>
      <w:r w:rsidR="005C062F">
        <w:rPr>
          <w:rFonts w:ascii="Times New Roman" w:hAnsi="Times New Roman"/>
        </w:rPr>
        <w:t>riate risk-based counseling about safe sex practices” (Vanderbilt School of Medicine, 2012).  Furthermore, vacc</w:t>
      </w:r>
      <w:r w:rsidR="00CE0EC2">
        <w:rPr>
          <w:rFonts w:ascii="Times New Roman" w:hAnsi="Times New Roman"/>
        </w:rPr>
        <w:t>ines for HPV and hepatitis C are available for gay men; they can prevent transmission of these viruses, however, screenings for STDs should be done routinely and consistent safe sex practices should be implemented (Vanderbilt School of Medicine, 2012).  Lastly, it has been found that men who have sex with men have a tendency to have body image disorders, use an</w:t>
      </w:r>
      <w:r w:rsidR="009140B0">
        <w:rPr>
          <w:rFonts w:ascii="Times New Roman" w:hAnsi="Times New Roman"/>
        </w:rPr>
        <w:t>abolic steroids, and be obese; i</w:t>
      </w:r>
      <w:r w:rsidR="00CE0EC2">
        <w:rPr>
          <w:rFonts w:ascii="Times New Roman" w:hAnsi="Times New Roman"/>
        </w:rPr>
        <w:t xml:space="preserve">t is important to screen gay men for each of these, and provide them with guidance and education about </w:t>
      </w:r>
      <w:r w:rsidR="009140B0">
        <w:rPr>
          <w:rFonts w:ascii="Times New Roman" w:hAnsi="Times New Roman"/>
        </w:rPr>
        <w:t>healthy lifestyle habits (Vanderbilt School of Medicine, 2012).</w:t>
      </w:r>
    </w:p>
    <w:p w:rsidR="00EC6CA6" w:rsidRDefault="00C53F62" w:rsidP="00202EE2">
      <w:pPr>
        <w:spacing w:after="0" w:line="480" w:lineRule="auto"/>
        <w:rPr>
          <w:rFonts w:ascii="Times New Roman" w:hAnsi="Times New Roman"/>
        </w:rPr>
      </w:pPr>
      <w:r>
        <w:rPr>
          <w:rFonts w:ascii="Times New Roman" w:hAnsi="Times New Roman"/>
        </w:rPr>
        <w:t>9. What healthcare disparities/discriminatory p</w:t>
      </w:r>
      <w:r w:rsidR="00E1510D">
        <w:rPr>
          <w:rFonts w:ascii="Times New Roman" w:hAnsi="Times New Roman"/>
        </w:rPr>
        <w:t>ractices may the selected margi</w:t>
      </w:r>
      <w:r>
        <w:rPr>
          <w:rFonts w:ascii="Times New Roman" w:hAnsi="Times New Roman"/>
        </w:rPr>
        <w:t>nalized group encounter?</w:t>
      </w:r>
    </w:p>
    <w:p w:rsidR="00EC6CA6" w:rsidRDefault="00D10866" w:rsidP="00202EE2">
      <w:pPr>
        <w:spacing w:after="0" w:line="480" w:lineRule="auto"/>
        <w:rPr>
          <w:rFonts w:ascii="Times New Roman" w:hAnsi="Times New Roman"/>
        </w:rPr>
      </w:pPr>
      <w:r>
        <w:rPr>
          <w:rFonts w:ascii="Times New Roman" w:hAnsi="Times New Roman"/>
        </w:rPr>
        <w:tab/>
        <w:t>Healthy People 2020 (2013) report that</w:t>
      </w:r>
      <w:r w:rsidR="00EC6CA6">
        <w:rPr>
          <w:rFonts w:ascii="Times New Roman" w:hAnsi="Times New Roman"/>
        </w:rPr>
        <w:t>:</w:t>
      </w:r>
    </w:p>
    <w:p w:rsidR="00D10866" w:rsidRDefault="00EC6CA6" w:rsidP="00202EE2">
      <w:pPr>
        <w:spacing w:after="0" w:line="480" w:lineRule="auto"/>
        <w:ind w:left="720" w:hanging="720"/>
        <w:rPr>
          <w:rFonts w:ascii="Times New Roman" w:hAnsi="Times New Roman"/>
        </w:rPr>
      </w:pPr>
      <w:r>
        <w:rPr>
          <w:rFonts w:ascii="Times New Roman" w:hAnsi="Times New Roman"/>
        </w:rPr>
        <w:tab/>
      </w:r>
      <w:r w:rsidR="006403D2">
        <w:rPr>
          <w:rFonts w:ascii="Times New Roman" w:hAnsi="Times New Roman"/>
        </w:rPr>
        <w:t>Research suggests</w:t>
      </w:r>
      <w:r w:rsidR="00D10866">
        <w:rPr>
          <w:rFonts w:ascii="Times New Roman" w:hAnsi="Times New Roman"/>
        </w:rPr>
        <w:t xml:space="preserve"> that LGBT individuals face health disparities linked to societal stigma, discrimination, and denial of their civil and human rights.  Discrimination against LGBT persons has been associated with high rates of psychiatric disorders, substance abuse, and suicide.  Experiences of violence and victimization are frequent for LGBT individuals, and have long-lasting effects on the individual and the community.  Personal, family, and social acceptance of sexual orientation and gender identity affects the mental health and personal safety of LGBT individuals.</w:t>
      </w:r>
    </w:p>
    <w:p w:rsidR="00D10866" w:rsidRDefault="00D10866" w:rsidP="00202EE2">
      <w:pPr>
        <w:spacing w:after="0" w:line="480" w:lineRule="auto"/>
        <w:rPr>
          <w:rFonts w:ascii="Times New Roman" w:hAnsi="Times New Roman"/>
        </w:rPr>
      </w:pPr>
      <w:r>
        <w:rPr>
          <w:rFonts w:ascii="Times New Roman" w:hAnsi="Times New Roman"/>
        </w:rPr>
        <w:t>Several of the dispariti</w:t>
      </w:r>
      <w:r w:rsidR="00342147">
        <w:rPr>
          <w:rFonts w:ascii="Times New Roman" w:hAnsi="Times New Roman"/>
        </w:rPr>
        <w:t>es that Healthy People 2020 (2013) suggest healthcare personnel immediately and consistently address include the increased likelihood of suicide attempts and homelessness, risks of HIV/AIDS and other STDs, and rates of those within the gay community that smoke, drink alcohol excessively, and use other drugs that are detrimental to their health and wellbeing.  It should also be noted that “studies have found that LGBT older adults in community and long-term care settings reported being fearful of rejection and neglect by other caregivers, not being accepted by other residents, and being forced to hide their sexual orientation (</w:t>
      </w:r>
      <w:r w:rsidR="006403D2">
        <w:rPr>
          <w:rFonts w:ascii="Times New Roman" w:hAnsi="Times New Roman"/>
        </w:rPr>
        <w:t>Eliopoulos</w:t>
      </w:r>
      <w:r w:rsidR="00342147">
        <w:rPr>
          <w:rFonts w:ascii="Times New Roman" w:hAnsi="Times New Roman"/>
        </w:rPr>
        <w:t>, 2014, p. 31).</w:t>
      </w:r>
    </w:p>
    <w:p w:rsidR="00EC6CA6" w:rsidRDefault="00EC6CA6" w:rsidP="00202EE2">
      <w:pPr>
        <w:spacing w:after="0" w:line="480" w:lineRule="auto"/>
        <w:ind w:left="720" w:hanging="720"/>
        <w:rPr>
          <w:rFonts w:ascii="Times New Roman" w:hAnsi="Times New Roman"/>
        </w:rPr>
      </w:pPr>
    </w:p>
    <w:p w:rsidR="00A41E05" w:rsidRPr="00C6064D" w:rsidRDefault="00A41E05" w:rsidP="00202EE2">
      <w:pPr>
        <w:spacing w:after="0" w:line="480" w:lineRule="auto"/>
        <w:rPr>
          <w:rFonts w:ascii="Times New Roman" w:hAnsi="Times New Roman"/>
        </w:rPr>
      </w:pPr>
    </w:p>
    <w:p w:rsidR="00330D24" w:rsidRDefault="00330D24" w:rsidP="00202EE2">
      <w:pPr>
        <w:spacing w:after="0"/>
      </w:pPr>
    </w:p>
    <w:p w:rsidR="00330D24" w:rsidRDefault="00330D24" w:rsidP="00202EE2">
      <w:pPr>
        <w:spacing w:after="0"/>
      </w:pPr>
    </w:p>
    <w:p w:rsidR="00330D24" w:rsidRDefault="00330D24" w:rsidP="00202EE2">
      <w:pPr>
        <w:spacing w:after="0"/>
      </w:pPr>
    </w:p>
    <w:p w:rsidR="00330D24" w:rsidRDefault="00330D24" w:rsidP="00202EE2">
      <w:pPr>
        <w:spacing w:after="0"/>
      </w:pPr>
    </w:p>
    <w:p w:rsidR="00330D24" w:rsidRDefault="00330D24" w:rsidP="00202EE2">
      <w:pPr>
        <w:spacing w:after="0"/>
      </w:pPr>
    </w:p>
    <w:p w:rsidR="00330D24" w:rsidRDefault="00330D24" w:rsidP="00202EE2">
      <w:pPr>
        <w:spacing w:after="0"/>
      </w:pPr>
    </w:p>
    <w:p w:rsidR="00330D24" w:rsidRDefault="00330D24" w:rsidP="00202EE2">
      <w:pPr>
        <w:spacing w:after="0"/>
      </w:pPr>
    </w:p>
    <w:p w:rsidR="00330D24" w:rsidRDefault="00330D24" w:rsidP="00202EE2">
      <w:pPr>
        <w:spacing w:after="0"/>
      </w:pPr>
    </w:p>
    <w:p w:rsidR="00330D24" w:rsidRDefault="00330D24" w:rsidP="00202EE2">
      <w:pPr>
        <w:spacing w:after="0"/>
      </w:pPr>
    </w:p>
    <w:p w:rsidR="00330D24" w:rsidRDefault="00330D24" w:rsidP="00202EE2">
      <w:pPr>
        <w:spacing w:after="0"/>
      </w:pPr>
    </w:p>
    <w:p w:rsidR="00330D24" w:rsidRDefault="00330D24" w:rsidP="00202EE2">
      <w:pPr>
        <w:spacing w:after="0"/>
      </w:pPr>
    </w:p>
    <w:p w:rsidR="006403D2" w:rsidRDefault="006403D2" w:rsidP="00202EE2">
      <w:pPr>
        <w:spacing w:after="0"/>
      </w:pPr>
    </w:p>
    <w:p w:rsidR="006403D2" w:rsidRDefault="006403D2" w:rsidP="00202EE2">
      <w:pPr>
        <w:spacing w:after="0"/>
      </w:pPr>
    </w:p>
    <w:p w:rsidR="006403D2" w:rsidRDefault="006403D2" w:rsidP="00202EE2">
      <w:pPr>
        <w:spacing w:after="0" w:line="480" w:lineRule="auto"/>
      </w:pPr>
    </w:p>
    <w:p w:rsidR="006403D2" w:rsidRPr="006403D2" w:rsidRDefault="006403D2" w:rsidP="00202EE2">
      <w:pPr>
        <w:spacing w:after="0" w:line="480" w:lineRule="auto"/>
        <w:jc w:val="center"/>
        <w:rPr>
          <w:rFonts w:ascii="Times New Roman" w:hAnsi="Times New Roman"/>
        </w:rPr>
      </w:pPr>
      <w:r w:rsidRPr="006403D2">
        <w:rPr>
          <w:rFonts w:ascii="Times New Roman" w:hAnsi="Times New Roman"/>
        </w:rPr>
        <w:t>References</w:t>
      </w:r>
    </w:p>
    <w:p w:rsidR="00A41E05" w:rsidRPr="006403D2" w:rsidRDefault="006403D2" w:rsidP="00202EE2">
      <w:pPr>
        <w:spacing w:after="0"/>
        <w:rPr>
          <w:rFonts w:ascii="Times New Roman" w:hAnsi="Times New Roman"/>
        </w:rPr>
      </w:pPr>
      <w:r w:rsidRPr="006403D2">
        <w:rPr>
          <w:rFonts w:ascii="Times New Roman" w:hAnsi="Times New Roman"/>
        </w:rPr>
        <w:t>Eliopoulos</w:t>
      </w:r>
      <w:r w:rsidR="007B4374" w:rsidRPr="006403D2">
        <w:rPr>
          <w:rFonts w:ascii="Times New Roman" w:hAnsi="Times New Roman"/>
        </w:rPr>
        <w:t xml:space="preserve">, C. (2014). </w:t>
      </w:r>
      <w:r w:rsidR="007B4374" w:rsidRPr="006403D2">
        <w:rPr>
          <w:rFonts w:ascii="Times New Roman" w:hAnsi="Times New Roman"/>
          <w:i/>
        </w:rPr>
        <w:t>Gerontological nursing</w:t>
      </w:r>
      <w:r w:rsidR="007B4374" w:rsidRPr="006403D2">
        <w:rPr>
          <w:rFonts w:ascii="Times New Roman" w:hAnsi="Times New Roman"/>
        </w:rPr>
        <w:t xml:space="preserve"> (8</w:t>
      </w:r>
      <w:r w:rsidR="007B4374" w:rsidRPr="006403D2">
        <w:rPr>
          <w:rFonts w:ascii="Times New Roman" w:hAnsi="Times New Roman"/>
          <w:vertAlign w:val="superscript"/>
        </w:rPr>
        <w:t>th</w:t>
      </w:r>
      <w:r w:rsidR="007B4374" w:rsidRPr="006403D2">
        <w:rPr>
          <w:rFonts w:ascii="Times New Roman" w:hAnsi="Times New Roman"/>
        </w:rPr>
        <w:t xml:space="preserve"> ed.). Philadelphia: Lippincott Williams &amp; Wilkins.</w:t>
      </w:r>
    </w:p>
    <w:p w:rsidR="00792A9F" w:rsidRPr="006403D2" w:rsidRDefault="00612D09" w:rsidP="00202EE2">
      <w:pPr>
        <w:spacing w:after="0"/>
        <w:rPr>
          <w:rFonts w:ascii="Times New Roman" w:hAnsi="Times New Roman"/>
        </w:rPr>
      </w:pPr>
      <w:r w:rsidRPr="006403D2">
        <w:rPr>
          <w:rFonts w:ascii="Times New Roman" w:eastAsiaTheme="minorHAnsi" w:hAnsi="Times New Roman" w:cs="Times"/>
          <w:color w:val="262626"/>
          <w:szCs w:val="28"/>
        </w:rPr>
        <w:t xml:space="preserve">Estes, M. (2010). </w:t>
      </w:r>
      <w:r w:rsidRPr="006403D2">
        <w:rPr>
          <w:rFonts w:ascii="Times New Roman" w:eastAsiaTheme="minorHAnsi" w:hAnsi="Times New Roman" w:cs="Times"/>
          <w:i/>
          <w:iCs/>
          <w:color w:val="262626"/>
          <w:szCs w:val="28"/>
        </w:rPr>
        <w:t>Health assessment &amp; physical examination</w:t>
      </w:r>
      <w:r w:rsidRPr="006403D2">
        <w:rPr>
          <w:rFonts w:ascii="Times New Roman" w:eastAsiaTheme="minorHAnsi" w:hAnsi="Times New Roman" w:cs="Times"/>
          <w:color w:val="262626"/>
          <w:szCs w:val="28"/>
        </w:rPr>
        <w:t xml:space="preserve"> (4th ed.). Clifton Park, NY: Delmar, Cengage Learning.</w:t>
      </w:r>
    </w:p>
    <w:p w:rsidR="00C97926" w:rsidRPr="006403D2" w:rsidRDefault="00C97926" w:rsidP="00202EE2">
      <w:pPr>
        <w:spacing w:after="0"/>
        <w:rPr>
          <w:rFonts w:ascii="Times New Roman" w:eastAsiaTheme="minorHAnsi" w:hAnsi="Times New Roman" w:cs="Helvetica"/>
          <w:color w:val="262626"/>
        </w:rPr>
      </w:pPr>
      <w:r w:rsidRPr="006403D2">
        <w:rPr>
          <w:rFonts w:ascii="Times New Roman" w:eastAsiaTheme="minorHAnsi" w:hAnsi="Times New Roman" w:cs="Helvetica"/>
          <w:color w:val="262626"/>
        </w:rPr>
        <w:t>Konecny, L. (2012). “</w:t>
      </w:r>
      <w:r w:rsidR="003E4A29" w:rsidRPr="006403D2">
        <w:rPr>
          <w:rFonts w:ascii="Times New Roman" w:eastAsiaTheme="minorHAnsi" w:hAnsi="Times New Roman" w:cs="Helvetica"/>
          <w:color w:val="262626"/>
        </w:rPr>
        <w:t xml:space="preserve">Delivering </w:t>
      </w:r>
      <w:r w:rsidR="003E4A29" w:rsidRPr="006403D2">
        <w:rPr>
          <w:rFonts w:ascii="Times New Roman" w:eastAsiaTheme="minorHAnsi" w:hAnsi="Times New Roman" w:cs="Helvetica"/>
          <w:i/>
          <w:color w:val="262626"/>
        </w:rPr>
        <w:t>c</w:t>
      </w:r>
      <w:r w:rsidRPr="006403D2">
        <w:rPr>
          <w:rFonts w:ascii="Times New Roman" w:eastAsiaTheme="minorHAnsi" w:hAnsi="Times New Roman" w:cs="Helvetica"/>
          <w:i/>
          <w:color w:val="262626"/>
        </w:rPr>
        <w:t xml:space="preserve">ulturally competent care </w:t>
      </w:r>
      <w:r w:rsidR="003E4A29" w:rsidRPr="006403D2">
        <w:rPr>
          <w:rFonts w:ascii="Times New Roman" w:eastAsiaTheme="minorHAnsi" w:hAnsi="Times New Roman" w:cs="Helvetica"/>
          <w:i/>
          <w:color w:val="262626"/>
        </w:rPr>
        <w:t>to</w:t>
      </w:r>
      <w:r w:rsidRPr="006403D2">
        <w:rPr>
          <w:rFonts w:ascii="Times New Roman" w:eastAsiaTheme="minorHAnsi" w:hAnsi="Times New Roman" w:cs="Helvetica"/>
          <w:i/>
          <w:color w:val="262626"/>
        </w:rPr>
        <w:t xml:space="preserve"> older adults</w:t>
      </w:r>
      <w:r w:rsidRPr="006403D2">
        <w:rPr>
          <w:rFonts w:ascii="Times New Roman" w:eastAsiaTheme="minorHAnsi" w:hAnsi="Times New Roman" w:cs="Helvetica"/>
          <w:color w:val="262626"/>
        </w:rPr>
        <w:t>”. [PowerPoint slides]. Retrieved March 11, 2015.</w:t>
      </w:r>
    </w:p>
    <w:p w:rsidR="00E318EF" w:rsidRPr="006403D2" w:rsidRDefault="00C97926" w:rsidP="00202EE2">
      <w:pPr>
        <w:spacing w:after="0"/>
        <w:rPr>
          <w:rFonts w:ascii="Times New Roman" w:eastAsiaTheme="minorHAnsi" w:hAnsi="Times New Roman" w:cs="Helvetica"/>
          <w:color w:val="262626"/>
        </w:rPr>
      </w:pPr>
      <w:r w:rsidRPr="006403D2">
        <w:rPr>
          <w:rFonts w:ascii="Times New Roman" w:eastAsiaTheme="minorHAnsi" w:hAnsi="Times New Roman" w:cs="Helvetica"/>
          <w:color w:val="262626"/>
        </w:rPr>
        <w:t>Konecny, L. (2012). “</w:t>
      </w:r>
      <w:r w:rsidRPr="006403D2">
        <w:rPr>
          <w:rFonts w:ascii="Times New Roman" w:eastAsiaTheme="minorHAnsi" w:hAnsi="Times New Roman" w:cs="Helvetica"/>
          <w:i/>
          <w:color w:val="262626"/>
        </w:rPr>
        <w:t>Intimacy and sexuality in older adults</w:t>
      </w:r>
      <w:r w:rsidRPr="006403D2">
        <w:rPr>
          <w:rFonts w:ascii="Times New Roman" w:eastAsiaTheme="minorHAnsi" w:hAnsi="Times New Roman" w:cs="Helvetica"/>
          <w:color w:val="262626"/>
        </w:rPr>
        <w:t xml:space="preserve">”. [PowerPoint slides]. Retrieved </w:t>
      </w:r>
      <w:r w:rsidR="003E4A29" w:rsidRPr="006403D2">
        <w:rPr>
          <w:rFonts w:ascii="Times New Roman" w:eastAsiaTheme="minorHAnsi" w:hAnsi="Times New Roman" w:cs="Helvetica"/>
          <w:color w:val="262626"/>
        </w:rPr>
        <w:t>March 4, 2015.</w:t>
      </w:r>
    </w:p>
    <w:p w:rsidR="00E318EF" w:rsidRPr="006403D2" w:rsidRDefault="00E318EF" w:rsidP="00202EE2">
      <w:pPr>
        <w:widowControl w:val="0"/>
        <w:autoSpaceDE w:val="0"/>
        <w:autoSpaceDN w:val="0"/>
        <w:adjustRightInd w:val="0"/>
        <w:spacing w:after="0"/>
        <w:rPr>
          <w:rFonts w:ascii="Times New Roman" w:eastAsiaTheme="minorHAnsi" w:hAnsi="Times New Roman" w:cs="Times"/>
          <w:color w:val="262626"/>
          <w:szCs w:val="28"/>
        </w:rPr>
      </w:pPr>
      <w:r w:rsidRPr="006403D2">
        <w:rPr>
          <w:rFonts w:ascii="Times New Roman" w:eastAsiaTheme="minorHAnsi" w:hAnsi="Times New Roman" w:cs="Times"/>
          <w:color w:val="262626"/>
          <w:szCs w:val="28"/>
        </w:rPr>
        <w:t xml:space="preserve">Livingston, G., Minushkin, S., &amp; Cohn, D. (2008). Hispanics and healthcare in the united states: Access, information and knowledge. </w:t>
      </w:r>
      <w:r w:rsidRPr="006403D2">
        <w:rPr>
          <w:rFonts w:ascii="Times New Roman" w:eastAsiaTheme="minorHAnsi" w:hAnsi="Times New Roman" w:cs="Times"/>
          <w:i/>
          <w:iCs/>
          <w:color w:val="262626"/>
          <w:szCs w:val="28"/>
        </w:rPr>
        <w:t>A Joint Pew Hispanic Center and Robert Wood Johnson Foundation Research Report</w:t>
      </w:r>
      <w:r w:rsidRPr="006403D2">
        <w:rPr>
          <w:rFonts w:ascii="Times New Roman" w:eastAsiaTheme="minorHAnsi" w:hAnsi="Times New Roman" w:cs="Times"/>
          <w:color w:val="262626"/>
          <w:szCs w:val="28"/>
        </w:rPr>
        <w:t>. Retrieved March 13, 2015.</w:t>
      </w:r>
    </w:p>
    <w:p w:rsidR="006403D2" w:rsidRDefault="006403D2" w:rsidP="00202EE2">
      <w:pPr>
        <w:spacing w:after="0"/>
        <w:rPr>
          <w:rFonts w:ascii="Times New Roman" w:eastAsiaTheme="minorHAnsi" w:hAnsi="Times New Roman" w:cs="Helvetica"/>
          <w:color w:val="262626"/>
        </w:rPr>
      </w:pPr>
    </w:p>
    <w:p w:rsidR="007C78EF" w:rsidRPr="006403D2" w:rsidRDefault="00330D24" w:rsidP="00202EE2">
      <w:pPr>
        <w:spacing w:after="0"/>
        <w:rPr>
          <w:rFonts w:ascii="Times New Roman" w:eastAsiaTheme="minorHAnsi" w:hAnsi="Times New Roman" w:cs="Helvetica"/>
          <w:color w:val="262626"/>
        </w:rPr>
      </w:pPr>
      <w:r w:rsidRPr="006403D2">
        <w:rPr>
          <w:rFonts w:ascii="Times New Roman" w:eastAsiaTheme="minorHAnsi" w:hAnsi="Times New Roman" w:cs="Helvetica"/>
          <w:color w:val="262626"/>
        </w:rPr>
        <w:t xml:space="preserve">Lorenzo-Blanco, E. I., Unger, J. B., Baezconde-Garbanati, L., Ritt-Olson, A., &amp; Soto, D. (2012). Acculturation, enculturation, and symptoms of depression in Hispanic youth: the roles of gender, Hispanic cultural values, and family functioning. </w:t>
      </w:r>
      <w:r w:rsidRPr="006403D2">
        <w:rPr>
          <w:rFonts w:ascii="Times New Roman" w:eastAsiaTheme="minorHAnsi" w:hAnsi="Times New Roman" w:cs="Helvetica"/>
          <w:i/>
          <w:iCs/>
          <w:color w:val="262626"/>
        </w:rPr>
        <w:t>Journal Of Youth And Adolescence</w:t>
      </w:r>
      <w:r w:rsidRPr="006403D2">
        <w:rPr>
          <w:rFonts w:ascii="Times New Roman" w:eastAsiaTheme="minorHAnsi" w:hAnsi="Times New Roman" w:cs="Helvetica"/>
          <w:color w:val="262626"/>
        </w:rPr>
        <w:t xml:space="preserve">, </w:t>
      </w:r>
      <w:r w:rsidRPr="006403D2">
        <w:rPr>
          <w:rFonts w:ascii="Times New Roman" w:eastAsiaTheme="minorHAnsi" w:hAnsi="Times New Roman" w:cs="Helvetica"/>
          <w:i/>
          <w:iCs/>
          <w:color w:val="262626"/>
        </w:rPr>
        <w:t>41</w:t>
      </w:r>
      <w:r w:rsidRPr="006403D2">
        <w:rPr>
          <w:rFonts w:ascii="Times New Roman" w:eastAsiaTheme="minorHAnsi" w:hAnsi="Times New Roman" w:cs="Helvetica"/>
          <w:color w:val="262626"/>
        </w:rPr>
        <w:t>(10), 1350-1365.</w:t>
      </w:r>
      <w:r w:rsidR="007B4374" w:rsidRPr="006403D2">
        <w:rPr>
          <w:rFonts w:ascii="Times New Roman" w:eastAsiaTheme="minorHAnsi" w:hAnsi="Times New Roman" w:cs="Helvetica"/>
          <w:color w:val="262626"/>
        </w:rPr>
        <w:t xml:space="preserve"> doi:10.1007/s10964-012-9774-7. Retrieved March 15, 2015.</w:t>
      </w:r>
    </w:p>
    <w:p w:rsidR="001D0094" w:rsidRPr="006403D2" w:rsidRDefault="003D3B5C" w:rsidP="00202EE2">
      <w:pPr>
        <w:spacing w:after="0"/>
        <w:rPr>
          <w:rFonts w:ascii="Times New Roman" w:eastAsiaTheme="minorHAnsi" w:hAnsi="Times New Roman" w:cs="Helvetica"/>
          <w:color w:val="262626"/>
        </w:rPr>
      </w:pPr>
      <w:r w:rsidRPr="006403D2">
        <w:rPr>
          <w:rFonts w:ascii="Times New Roman" w:eastAsiaTheme="minorHAnsi" w:hAnsi="Times New Roman" w:cs="Helvetica"/>
          <w:color w:val="262626"/>
        </w:rPr>
        <w:t xml:space="preserve">Strunk, J. A., Townsend-Rocchiccioli, J., &amp; Sanford, J. T. (2013). The Aging Hispanic in America: Challenges for Nurses in a Stressed Health Care Environment. </w:t>
      </w:r>
      <w:r w:rsidRPr="006403D2">
        <w:rPr>
          <w:rFonts w:ascii="Times New Roman" w:eastAsiaTheme="minorHAnsi" w:hAnsi="Times New Roman" w:cs="Helvetica"/>
          <w:i/>
          <w:iCs/>
          <w:color w:val="262626"/>
        </w:rPr>
        <w:t>MEDSURG Nursing</w:t>
      </w:r>
      <w:r w:rsidRPr="006403D2">
        <w:rPr>
          <w:rFonts w:ascii="Times New Roman" w:eastAsiaTheme="minorHAnsi" w:hAnsi="Times New Roman" w:cs="Helvetica"/>
          <w:color w:val="262626"/>
        </w:rPr>
        <w:t xml:space="preserve">, </w:t>
      </w:r>
      <w:r w:rsidRPr="006403D2">
        <w:rPr>
          <w:rFonts w:ascii="Times New Roman" w:eastAsiaTheme="minorHAnsi" w:hAnsi="Times New Roman" w:cs="Helvetica"/>
          <w:i/>
          <w:iCs/>
          <w:color w:val="262626"/>
        </w:rPr>
        <w:t>22</w:t>
      </w:r>
      <w:r w:rsidRPr="006403D2">
        <w:rPr>
          <w:rFonts w:ascii="Times New Roman" w:eastAsiaTheme="minorHAnsi" w:hAnsi="Times New Roman" w:cs="Helvetica"/>
          <w:color w:val="262626"/>
        </w:rPr>
        <w:t>(1), 45-50.</w:t>
      </w:r>
      <w:r w:rsidR="007B4374" w:rsidRPr="006403D2">
        <w:rPr>
          <w:rFonts w:ascii="Times New Roman" w:eastAsiaTheme="minorHAnsi" w:hAnsi="Times New Roman" w:cs="Helvetica"/>
          <w:color w:val="262626"/>
        </w:rPr>
        <w:t xml:space="preserve"> Retrieved March 14, 2015.</w:t>
      </w:r>
    </w:p>
    <w:p w:rsidR="00A41E05" w:rsidRPr="00C53F62" w:rsidRDefault="00A41E05" w:rsidP="00202EE2">
      <w:pPr>
        <w:spacing w:after="0"/>
        <w:rPr>
          <w:rFonts w:ascii="Times New Roman" w:hAnsi="Times New Roman"/>
        </w:rPr>
      </w:pPr>
    </w:p>
    <w:sectPr w:rsidR="00A41E05" w:rsidRPr="00C53F62" w:rsidSect="002F297A">
      <w:headerReference w:type="even" r:id="rId5"/>
      <w:headerReference w:type="default" r:id="rId6"/>
      <w:headerReference w:type="first" r:id="rId7"/>
      <w:pgSz w:w="12240" w:h="15840"/>
      <w:pgMar w:top="1440" w:right="1800" w:bottom="1440" w:left="1800" w:gutter="0"/>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altName w:val="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DC2" w:rsidRDefault="00AC5DC2" w:rsidP="002F29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5DC2" w:rsidRDefault="00AC5DC2" w:rsidP="002F297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DC2" w:rsidRDefault="00AC5DC2" w:rsidP="002F29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2EE2">
      <w:rPr>
        <w:rStyle w:val="PageNumber"/>
        <w:noProof/>
      </w:rPr>
      <w:t>8</w:t>
    </w:r>
    <w:r>
      <w:rPr>
        <w:rStyle w:val="PageNumber"/>
      </w:rPr>
      <w:fldChar w:fldCharType="end"/>
    </w:r>
  </w:p>
  <w:p w:rsidR="00AC5DC2" w:rsidRDefault="00AC5DC2" w:rsidP="002F297A">
    <w:pPr>
      <w:pStyle w:val="Header"/>
      <w:ind w:right="360"/>
    </w:pPr>
    <w:r>
      <w:t>DELIVERING CULTURALLY COMPETENT CARE TO OLDER ADULTS</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DC2" w:rsidRDefault="00AC5DC2">
    <w:pPr>
      <w:pStyle w:val="Header"/>
    </w:pPr>
    <w:r>
      <w:t>Running Head: DELIVERING CULTURALLY COMPETENT CARE TO OLDER ADULTS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41E05"/>
    <w:rsid w:val="0000319C"/>
    <w:rsid w:val="000369AF"/>
    <w:rsid w:val="00037BC3"/>
    <w:rsid w:val="00061442"/>
    <w:rsid w:val="00080BD6"/>
    <w:rsid w:val="001649D9"/>
    <w:rsid w:val="001D0094"/>
    <w:rsid w:val="00202EE2"/>
    <w:rsid w:val="00272014"/>
    <w:rsid w:val="00277249"/>
    <w:rsid w:val="002F297A"/>
    <w:rsid w:val="00330D24"/>
    <w:rsid w:val="00342147"/>
    <w:rsid w:val="003A0690"/>
    <w:rsid w:val="003C15C4"/>
    <w:rsid w:val="003D3B5C"/>
    <w:rsid w:val="003E4A29"/>
    <w:rsid w:val="003E632B"/>
    <w:rsid w:val="00494777"/>
    <w:rsid w:val="0049590D"/>
    <w:rsid w:val="00501C11"/>
    <w:rsid w:val="005340F5"/>
    <w:rsid w:val="00541507"/>
    <w:rsid w:val="00564B5F"/>
    <w:rsid w:val="00577E61"/>
    <w:rsid w:val="005C062F"/>
    <w:rsid w:val="00612D09"/>
    <w:rsid w:val="006139BF"/>
    <w:rsid w:val="006403D2"/>
    <w:rsid w:val="00666294"/>
    <w:rsid w:val="006B513D"/>
    <w:rsid w:val="007204B9"/>
    <w:rsid w:val="00792A9F"/>
    <w:rsid w:val="007B4374"/>
    <w:rsid w:val="007C78EF"/>
    <w:rsid w:val="007E68B0"/>
    <w:rsid w:val="008673E6"/>
    <w:rsid w:val="008B0692"/>
    <w:rsid w:val="008E4FF9"/>
    <w:rsid w:val="009140B0"/>
    <w:rsid w:val="00954DFF"/>
    <w:rsid w:val="009C01C8"/>
    <w:rsid w:val="00A41E05"/>
    <w:rsid w:val="00A93D64"/>
    <w:rsid w:val="00AB1729"/>
    <w:rsid w:val="00AC5DC2"/>
    <w:rsid w:val="00B00427"/>
    <w:rsid w:val="00B61CAA"/>
    <w:rsid w:val="00B6560A"/>
    <w:rsid w:val="00B84E56"/>
    <w:rsid w:val="00B9080E"/>
    <w:rsid w:val="00C033DC"/>
    <w:rsid w:val="00C06104"/>
    <w:rsid w:val="00C459D2"/>
    <w:rsid w:val="00C53F62"/>
    <w:rsid w:val="00C72E99"/>
    <w:rsid w:val="00C97926"/>
    <w:rsid w:val="00CD43D3"/>
    <w:rsid w:val="00CE0EC2"/>
    <w:rsid w:val="00D03C27"/>
    <w:rsid w:val="00D10866"/>
    <w:rsid w:val="00D46371"/>
    <w:rsid w:val="00DA2CAC"/>
    <w:rsid w:val="00DD6DC5"/>
    <w:rsid w:val="00E1510D"/>
    <w:rsid w:val="00E318EF"/>
    <w:rsid w:val="00E521C7"/>
    <w:rsid w:val="00E96F63"/>
    <w:rsid w:val="00EA32BC"/>
    <w:rsid w:val="00EC6CA6"/>
    <w:rsid w:val="00EE291D"/>
    <w:rsid w:val="00F24DA4"/>
    <w:rsid w:val="00F860EF"/>
    <w:rsid w:val="00FB74B8"/>
  </w:rsids>
  <m:mathPr>
    <m:mathFont m:val="SimSu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E05"/>
    <w:rPr>
      <w:rFonts w:ascii="Cambria" w:eastAsia="Cambria" w:hAnsi="Cambria"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792A9F"/>
    <w:rPr>
      <w:color w:val="0000FF" w:themeColor="hyperlink"/>
      <w:u w:val="single"/>
    </w:rPr>
  </w:style>
  <w:style w:type="paragraph" w:styleId="Header">
    <w:name w:val="header"/>
    <w:basedOn w:val="Normal"/>
    <w:link w:val="HeaderChar"/>
    <w:uiPriority w:val="99"/>
    <w:unhideWhenUsed/>
    <w:rsid w:val="002F297A"/>
    <w:pPr>
      <w:tabs>
        <w:tab w:val="center" w:pos="4320"/>
        <w:tab w:val="right" w:pos="8640"/>
      </w:tabs>
      <w:spacing w:after="0"/>
    </w:pPr>
  </w:style>
  <w:style w:type="character" w:customStyle="1" w:styleId="HeaderChar">
    <w:name w:val="Header Char"/>
    <w:basedOn w:val="DefaultParagraphFont"/>
    <w:link w:val="Header"/>
    <w:uiPriority w:val="99"/>
    <w:rsid w:val="002F297A"/>
    <w:rPr>
      <w:rFonts w:ascii="Cambria" w:eastAsia="Cambria" w:hAnsi="Cambria" w:cs="Times New Roman"/>
    </w:rPr>
  </w:style>
  <w:style w:type="paragraph" w:styleId="Footer">
    <w:name w:val="footer"/>
    <w:basedOn w:val="Normal"/>
    <w:link w:val="FooterChar"/>
    <w:uiPriority w:val="99"/>
    <w:semiHidden/>
    <w:unhideWhenUsed/>
    <w:rsid w:val="002F297A"/>
    <w:pPr>
      <w:tabs>
        <w:tab w:val="center" w:pos="4320"/>
        <w:tab w:val="right" w:pos="8640"/>
      </w:tabs>
      <w:spacing w:after="0"/>
    </w:pPr>
  </w:style>
  <w:style w:type="character" w:customStyle="1" w:styleId="FooterChar">
    <w:name w:val="Footer Char"/>
    <w:basedOn w:val="DefaultParagraphFont"/>
    <w:link w:val="Footer"/>
    <w:uiPriority w:val="99"/>
    <w:semiHidden/>
    <w:rsid w:val="002F297A"/>
    <w:rPr>
      <w:rFonts w:ascii="Cambria" w:eastAsia="Cambria" w:hAnsi="Cambria" w:cs="Times New Roman"/>
    </w:rPr>
  </w:style>
  <w:style w:type="character" w:styleId="PageNumber">
    <w:name w:val="page number"/>
    <w:basedOn w:val="DefaultParagraphFont"/>
    <w:uiPriority w:val="99"/>
    <w:semiHidden/>
    <w:unhideWhenUsed/>
    <w:rsid w:val="002F297A"/>
  </w:style>
  <w:style w:type="paragraph" w:styleId="ListParagraph">
    <w:name w:val="List Paragraph"/>
    <w:basedOn w:val="Normal"/>
    <w:uiPriority w:val="34"/>
    <w:qFormat/>
    <w:rsid w:val="008E4FF9"/>
    <w:pPr>
      <w:ind w:left="720"/>
      <w:contextualSpacing/>
    </w:pPr>
  </w:style>
  <w:style w:type="paragraph" w:styleId="NormalWeb">
    <w:name w:val="Normal (Web)"/>
    <w:basedOn w:val="Normal"/>
    <w:uiPriority w:val="99"/>
    <w:rsid w:val="008673E6"/>
    <w:pPr>
      <w:spacing w:beforeLines="1" w:afterLines="1"/>
    </w:pPr>
    <w:rPr>
      <w:rFonts w:ascii="Times" w:eastAsiaTheme="minorHAnsi" w:hAnsi="Times"/>
      <w:sz w:val="20"/>
      <w:szCs w:val="20"/>
    </w:rPr>
  </w:style>
</w:styles>
</file>

<file path=word/webSettings.xml><?xml version="1.0" encoding="utf-8"?>
<w:webSettings xmlns:r="http://schemas.openxmlformats.org/officeDocument/2006/relationships" xmlns:w="http://schemas.openxmlformats.org/wordprocessingml/2006/main">
  <w:divs>
    <w:div w:id="2095513924">
      <w:bodyDiv w:val="1"/>
      <w:marLeft w:val="0"/>
      <w:marRight w:val="0"/>
      <w:marTop w:val="0"/>
      <w:marBottom w:val="0"/>
      <w:divBdr>
        <w:top w:val="none" w:sz="0" w:space="0" w:color="auto"/>
        <w:left w:val="none" w:sz="0" w:space="0" w:color="auto"/>
        <w:bottom w:val="none" w:sz="0" w:space="0" w:color="auto"/>
        <w:right w:val="none" w:sz="0" w:space="0" w:color="auto"/>
      </w:divBdr>
      <w:divsChild>
        <w:div w:id="994527110">
          <w:marLeft w:val="0"/>
          <w:marRight w:val="0"/>
          <w:marTop w:val="0"/>
          <w:marBottom w:val="0"/>
          <w:divBdr>
            <w:top w:val="none" w:sz="0" w:space="0" w:color="auto"/>
            <w:left w:val="none" w:sz="0" w:space="0" w:color="auto"/>
            <w:bottom w:val="none" w:sz="0" w:space="0" w:color="auto"/>
            <w:right w:val="none" w:sz="0" w:space="0" w:color="auto"/>
          </w:divBdr>
          <w:divsChild>
            <w:div w:id="1346515379">
              <w:marLeft w:val="0"/>
              <w:marRight w:val="0"/>
              <w:marTop w:val="0"/>
              <w:marBottom w:val="0"/>
              <w:divBdr>
                <w:top w:val="none" w:sz="0" w:space="0" w:color="auto"/>
                <w:left w:val="none" w:sz="0" w:space="0" w:color="auto"/>
                <w:bottom w:val="none" w:sz="0" w:space="0" w:color="auto"/>
                <w:right w:val="none" w:sz="0" w:space="0" w:color="auto"/>
              </w:divBdr>
              <w:divsChild>
                <w:div w:id="120383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F8D8F-A266-BA49-86D3-2F73A576E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1813</TotalTime>
  <Pages>9</Pages>
  <Words>2106</Words>
  <Characters>12005</Characters>
  <Application>Microsoft Macintosh Word</Application>
  <DocSecurity>0</DocSecurity>
  <Lines>100</Lines>
  <Paragraphs>24</Paragraphs>
  <ScaleCrop>false</ScaleCrop>
  <Company>St. Francis College</Company>
  <LinksUpToDate>false</LinksUpToDate>
  <CharactersWithSpaces>14742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Lauriello</dc:creator>
  <cp:keywords/>
  <cp:lastModifiedBy>Kristine Lauriello</cp:lastModifiedBy>
  <cp:revision>19</cp:revision>
  <dcterms:created xsi:type="dcterms:W3CDTF">2015-03-14T14:24:00Z</dcterms:created>
  <dcterms:modified xsi:type="dcterms:W3CDTF">2015-03-16T17:21:00Z</dcterms:modified>
</cp:coreProperties>
</file>