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0E" w:rsidRPr="00F139A9" w:rsidRDefault="0020200E" w:rsidP="0020200E">
      <w:pPr>
        <w:rPr>
          <w:rFonts w:ascii="Times New Roman" w:hAnsi="Times New Roman" w:cs="Times New Roman"/>
          <w:b/>
          <w:sz w:val="28"/>
          <w:szCs w:val="28"/>
        </w:rPr>
      </w:pPr>
      <w:r w:rsidRPr="00F139A9">
        <w:rPr>
          <w:rFonts w:ascii="Times New Roman" w:hAnsi="Times New Roman" w:cs="Times New Roman"/>
          <w:b/>
          <w:sz w:val="28"/>
          <w:szCs w:val="28"/>
        </w:rPr>
        <w:t xml:space="preserve">Patterns </w:t>
      </w:r>
      <w:r w:rsidR="00CA4D93" w:rsidRPr="00F139A9">
        <w:rPr>
          <w:rFonts w:ascii="Times New Roman" w:hAnsi="Times New Roman" w:cs="Times New Roman"/>
          <w:b/>
          <w:sz w:val="28"/>
          <w:szCs w:val="28"/>
        </w:rPr>
        <w:t xml:space="preserve">of </w:t>
      </w:r>
      <w:r w:rsidRPr="00F139A9">
        <w:rPr>
          <w:rFonts w:ascii="Times New Roman" w:hAnsi="Times New Roman" w:cs="Times New Roman"/>
          <w:b/>
          <w:sz w:val="28"/>
          <w:szCs w:val="28"/>
        </w:rPr>
        <w:t>Mortality:</w:t>
      </w:r>
    </w:p>
    <w:p w:rsidR="007C6A8E" w:rsidRDefault="007C6A8E">
      <w:pPr>
        <w:rPr>
          <w:sz w:val="32"/>
        </w:rPr>
      </w:pPr>
    </w:p>
    <w:p w:rsidR="0020200E" w:rsidRPr="0020200E" w:rsidRDefault="0020200E" w:rsidP="0020200E">
      <w:pPr>
        <w:rPr>
          <w:rFonts w:ascii="Times New Roman" w:hAnsi="Times New Roman" w:cs="Times New Roman"/>
          <w:sz w:val="24"/>
          <w:szCs w:val="24"/>
        </w:rPr>
      </w:pPr>
      <w:r w:rsidRPr="0020200E">
        <w:rPr>
          <w:rFonts w:ascii="Times New Roman" w:hAnsi="Times New Roman" w:cs="Times New Roman"/>
          <w:sz w:val="24"/>
          <w:szCs w:val="24"/>
        </w:rPr>
        <w:t xml:space="preserve">Heart disease and cancer caused the most deaths in 2001 among Gramercy Park and Murray Hill residents. The death rates for most causes were lower in Gramercy Park and Murray Hill than in New York City as a whole, though the suicide rate was higher. </w:t>
      </w:r>
    </w:p>
    <w:p w:rsidR="0020200E" w:rsidRDefault="0020200E"/>
    <w:p w:rsidR="0020200E" w:rsidRPr="00CA4D93" w:rsidRDefault="0020200E"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Leading causes of death in Gramercy Park and Murray Hill, 2001</w:t>
      </w:r>
    </w:p>
    <w:tbl>
      <w:tblPr>
        <w:tblStyle w:val="TableGrid"/>
        <w:tblW w:w="0" w:type="auto"/>
        <w:tblLayout w:type="fixed"/>
        <w:tblLook w:val="04A0"/>
      </w:tblPr>
      <w:tblGrid>
        <w:gridCol w:w="2718"/>
        <w:gridCol w:w="900"/>
        <w:gridCol w:w="1260"/>
        <w:gridCol w:w="1506"/>
        <w:gridCol w:w="1596"/>
        <w:gridCol w:w="1596"/>
      </w:tblGrid>
      <w:tr w:rsidR="0020200E" w:rsidRPr="00CA4D93" w:rsidTr="00CA4D93">
        <w:tc>
          <w:tcPr>
            <w:tcW w:w="2718" w:type="dxa"/>
            <w:tcBorders>
              <w:right w:val="nil"/>
            </w:tcBorders>
          </w:tcPr>
          <w:p w:rsidR="0020200E" w:rsidRPr="00CA4D93" w:rsidRDefault="0020200E" w:rsidP="0020200E">
            <w:pPr>
              <w:pStyle w:val="NoSpacing"/>
              <w:rPr>
                <w:rFonts w:ascii="Times New Roman" w:hAnsi="Times New Roman" w:cs="Times New Roman"/>
                <w:sz w:val="24"/>
                <w:szCs w:val="24"/>
              </w:rPr>
            </w:pPr>
          </w:p>
        </w:tc>
        <w:tc>
          <w:tcPr>
            <w:tcW w:w="2160" w:type="dxa"/>
            <w:gridSpan w:val="2"/>
            <w:tcBorders>
              <w:top w:val="single" w:sz="4" w:space="0" w:color="auto"/>
              <w:left w:val="nil"/>
              <w:bottom w:val="single" w:sz="4" w:space="0" w:color="auto"/>
              <w:right w:val="nil"/>
            </w:tcBorders>
          </w:tcPr>
          <w:p w:rsidR="0020200E" w:rsidRPr="00CA4D93" w:rsidRDefault="0020200E"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Gramercy Park/ Murray Hill</w:t>
            </w:r>
          </w:p>
        </w:tc>
        <w:tc>
          <w:tcPr>
            <w:tcW w:w="1506" w:type="dxa"/>
            <w:tcBorders>
              <w:left w:val="nil"/>
              <w:bottom w:val="single" w:sz="4" w:space="0" w:color="auto"/>
              <w:right w:val="nil"/>
            </w:tcBorders>
          </w:tcPr>
          <w:p w:rsidR="0020200E" w:rsidRPr="00CA4D93" w:rsidRDefault="0020200E"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New York City</w:t>
            </w:r>
          </w:p>
        </w:tc>
        <w:tc>
          <w:tcPr>
            <w:tcW w:w="3192" w:type="dxa"/>
            <w:gridSpan w:val="2"/>
            <w:tcBorders>
              <w:left w:val="nil"/>
            </w:tcBorders>
          </w:tcPr>
          <w:p w:rsidR="0020200E" w:rsidRPr="00CA4D93" w:rsidRDefault="0020200E"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Gramercy Park/ Murray Hill compared to NYC as a whole.</w:t>
            </w:r>
          </w:p>
        </w:tc>
      </w:tr>
      <w:tr w:rsidR="0020200E" w:rsidRPr="00CA4D93" w:rsidTr="00CA4D93">
        <w:trPr>
          <w:trHeight w:val="1133"/>
        </w:trPr>
        <w:tc>
          <w:tcPr>
            <w:tcW w:w="2718" w:type="dxa"/>
            <w:tcBorders>
              <w:right w:val="nil"/>
            </w:tcBorders>
          </w:tcPr>
          <w:p w:rsidR="0020200E" w:rsidRPr="00CA4D93" w:rsidRDefault="0020200E" w:rsidP="0020200E">
            <w:pPr>
              <w:pStyle w:val="NoSpacing"/>
              <w:rPr>
                <w:rFonts w:ascii="Times New Roman" w:hAnsi="Times New Roman" w:cs="Times New Roman"/>
                <w:sz w:val="24"/>
                <w:szCs w:val="24"/>
              </w:rPr>
            </w:pPr>
          </w:p>
        </w:tc>
        <w:tc>
          <w:tcPr>
            <w:tcW w:w="900" w:type="dxa"/>
            <w:tcBorders>
              <w:top w:val="single" w:sz="4" w:space="0" w:color="auto"/>
              <w:left w:val="nil"/>
              <w:right w:val="nil"/>
            </w:tcBorders>
          </w:tcPr>
          <w:p w:rsidR="0020200E" w:rsidRPr="00CA4D93" w:rsidRDefault="0020200E"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No. of deaths</w:t>
            </w:r>
          </w:p>
        </w:tc>
        <w:tc>
          <w:tcPr>
            <w:tcW w:w="1260" w:type="dxa"/>
            <w:tcBorders>
              <w:top w:val="single" w:sz="4" w:space="0" w:color="auto"/>
              <w:left w:val="nil"/>
              <w:right w:val="nil"/>
            </w:tcBorders>
          </w:tcPr>
          <w:p w:rsidR="0020200E" w:rsidRPr="00CA4D93" w:rsidRDefault="0020200E"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Death rate (per 100,000 people)*</w:t>
            </w:r>
          </w:p>
        </w:tc>
        <w:tc>
          <w:tcPr>
            <w:tcW w:w="1506" w:type="dxa"/>
            <w:tcBorders>
              <w:left w:val="nil"/>
              <w:right w:val="nil"/>
            </w:tcBorders>
          </w:tcPr>
          <w:p w:rsidR="0020200E" w:rsidRPr="00CA4D93" w:rsidRDefault="0020200E"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Death rate (per 100’000 people)*</w:t>
            </w:r>
          </w:p>
        </w:tc>
        <w:tc>
          <w:tcPr>
            <w:tcW w:w="1596" w:type="dxa"/>
            <w:tcBorders>
              <w:left w:val="nil"/>
              <w:right w:val="nil"/>
            </w:tcBorders>
          </w:tcPr>
          <w:p w:rsidR="0020200E" w:rsidRPr="00CA4D93" w:rsidRDefault="0020200E" w:rsidP="0020200E">
            <w:pPr>
              <w:pStyle w:val="NoSpacing"/>
              <w:rPr>
                <w:rFonts w:ascii="Times New Roman" w:hAnsi="Times New Roman" w:cs="Times New Roman"/>
                <w:sz w:val="24"/>
                <w:szCs w:val="24"/>
              </w:rPr>
            </w:pPr>
          </w:p>
          <w:p w:rsidR="0020200E" w:rsidRPr="00CA4D93" w:rsidRDefault="0020200E"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Higher by</w:t>
            </w:r>
          </w:p>
        </w:tc>
        <w:tc>
          <w:tcPr>
            <w:tcW w:w="1596" w:type="dxa"/>
            <w:tcBorders>
              <w:left w:val="nil"/>
            </w:tcBorders>
          </w:tcPr>
          <w:p w:rsidR="0020200E" w:rsidRPr="00CA4D93" w:rsidRDefault="0020200E" w:rsidP="0020200E">
            <w:pPr>
              <w:pStyle w:val="NoSpacing"/>
              <w:rPr>
                <w:rFonts w:ascii="Times New Roman" w:hAnsi="Times New Roman" w:cs="Times New Roman"/>
                <w:sz w:val="24"/>
                <w:szCs w:val="24"/>
              </w:rPr>
            </w:pPr>
          </w:p>
          <w:p w:rsidR="0020200E" w:rsidRPr="00CA4D93" w:rsidRDefault="0020200E"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Lower by </w:t>
            </w:r>
          </w:p>
        </w:tc>
      </w:tr>
      <w:tr w:rsidR="0020200E" w:rsidRPr="00CA4D93" w:rsidTr="003E5DC0">
        <w:tc>
          <w:tcPr>
            <w:tcW w:w="2718" w:type="dxa"/>
          </w:tcPr>
          <w:p w:rsidR="0020200E" w:rsidRPr="00CA4D93" w:rsidRDefault="0020200E"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All causes</w:t>
            </w:r>
          </w:p>
        </w:tc>
        <w:tc>
          <w:tcPr>
            <w:tcW w:w="900"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783</w:t>
            </w:r>
          </w:p>
        </w:tc>
        <w:tc>
          <w:tcPr>
            <w:tcW w:w="1260"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572</w:t>
            </w:r>
          </w:p>
        </w:tc>
        <w:tc>
          <w:tcPr>
            <w:tcW w:w="1506"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736</w:t>
            </w:r>
          </w:p>
        </w:tc>
        <w:tc>
          <w:tcPr>
            <w:tcW w:w="1596" w:type="dxa"/>
          </w:tcPr>
          <w:p w:rsidR="0020200E" w:rsidRPr="00CA4D93" w:rsidRDefault="0020200E" w:rsidP="0020200E">
            <w:pPr>
              <w:pStyle w:val="NoSpacing"/>
              <w:rPr>
                <w:rFonts w:ascii="Times New Roman" w:hAnsi="Times New Roman" w:cs="Times New Roman"/>
                <w:sz w:val="24"/>
                <w:szCs w:val="24"/>
              </w:rPr>
            </w:pPr>
          </w:p>
        </w:tc>
        <w:tc>
          <w:tcPr>
            <w:tcW w:w="1596"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20%</w:t>
            </w:r>
          </w:p>
        </w:tc>
      </w:tr>
      <w:tr w:rsidR="0020200E" w:rsidRPr="00CA4D93" w:rsidTr="003E5DC0">
        <w:tc>
          <w:tcPr>
            <w:tcW w:w="2718" w:type="dxa"/>
          </w:tcPr>
          <w:p w:rsidR="0020200E" w:rsidRPr="00CA4D93" w:rsidRDefault="0020200E"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Heart disease</w:t>
            </w:r>
          </w:p>
        </w:tc>
        <w:tc>
          <w:tcPr>
            <w:tcW w:w="900"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262</w:t>
            </w:r>
          </w:p>
        </w:tc>
        <w:tc>
          <w:tcPr>
            <w:tcW w:w="1260"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190</w:t>
            </w:r>
          </w:p>
        </w:tc>
        <w:tc>
          <w:tcPr>
            <w:tcW w:w="1506"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304</w:t>
            </w:r>
          </w:p>
        </w:tc>
        <w:tc>
          <w:tcPr>
            <w:tcW w:w="1596" w:type="dxa"/>
          </w:tcPr>
          <w:p w:rsidR="0020200E" w:rsidRPr="00CA4D93" w:rsidRDefault="0020200E" w:rsidP="0020200E">
            <w:pPr>
              <w:pStyle w:val="NoSpacing"/>
              <w:rPr>
                <w:rFonts w:ascii="Times New Roman" w:hAnsi="Times New Roman" w:cs="Times New Roman"/>
                <w:sz w:val="24"/>
                <w:szCs w:val="24"/>
              </w:rPr>
            </w:pPr>
          </w:p>
        </w:tc>
        <w:tc>
          <w:tcPr>
            <w:tcW w:w="1596"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40%</w:t>
            </w:r>
          </w:p>
        </w:tc>
      </w:tr>
      <w:tr w:rsidR="0020200E" w:rsidRPr="00CA4D93" w:rsidTr="003E5DC0">
        <w:tc>
          <w:tcPr>
            <w:tcW w:w="2718" w:type="dxa"/>
          </w:tcPr>
          <w:p w:rsidR="0020200E" w:rsidRPr="00CA4D93" w:rsidRDefault="0020200E"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Cancer</w:t>
            </w:r>
          </w:p>
        </w:tc>
        <w:tc>
          <w:tcPr>
            <w:tcW w:w="900"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246</w:t>
            </w:r>
          </w:p>
        </w:tc>
        <w:tc>
          <w:tcPr>
            <w:tcW w:w="1260" w:type="dxa"/>
          </w:tcPr>
          <w:p w:rsidR="003E5DC0"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175</w:t>
            </w:r>
          </w:p>
        </w:tc>
        <w:tc>
          <w:tcPr>
            <w:tcW w:w="1506"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167</w:t>
            </w:r>
          </w:p>
        </w:tc>
        <w:tc>
          <w:tcPr>
            <w:tcW w:w="1596"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5%</w:t>
            </w:r>
          </w:p>
        </w:tc>
        <w:tc>
          <w:tcPr>
            <w:tcW w:w="1596" w:type="dxa"/>
          </w:tcPr>
          <w:p w:rsidR="0020200E" w:rsidRPr="00CA4D93" w:rsidRDefault="0020200E" w:rsidP="0020200E">
            <w:pPr>
              <w:pStyle w:val="NoSpacing"/>
              <w:rPr>
                <w:rFonts w:ascii="Times New Roman" w:hAnsi="Times New Roman" w:cs="Times New Roman"/>
                <w:sz w:val="24"/>
                <w:szCs w:val="24"/>
              </w:rPr>
            </w:pPr>
          </w:p>
        </w:tc>
      </w:tr>
      <w:tr w:rsidR="0020200E" w:rsidRPr="00CA4D93" w:rsidTr="003E5DC0">
        <w:tc>
          <w:tcPr>
            <w:tcW w:w="2718" w:type="dxa"/>
          </w:tcPr>
          <w:p w:rsidR="0020200E" w:rsidRPr="00CA4D93" w:rsidRDefault="0020200E"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Pneumonia and Influ</w:t>
            </w:r>
            <w:r w:rsidR="003E5DC0" w:rsidRPr="00CA4D93">
              <w:rPr>
                <w:rFonts w:ascii="Times New Roman" w:hAnsi="Times New Roman" w:cs="Times New Roman"/>
                <w:sz w:val="24"/>
                <w:szCs w:val="24"/>
              </w:rPr>
              <w:t>enza</w:t>
            </w:r>
          </w:p>
        </w:tc>
        <w:tc>
          <w:tcPr>
            <w:tcW w:w="900"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37</w:t>
            </w:r>
          </w:p>
        </w:tc>
        <w:tc>
          <w:tcPr>
            <w:tcW w:w="1260"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27</w:t>
            </w:r>
          </w:p>
        </w:tc>
        <w:tc>
          <w:tcPr>
            <w:tcW w:w="1506"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32</w:t>
            </w:r>
          </w:p>
        </w:tc>
        <w:tc>
          <w:tcPr>
            <w:tcW w:w="1596" w:type="dxa"/>
          </w:tcPr>
          <w:p w:rsidR="0020200E" w:rsidRPr="00CA4D93" w:rsidRDefault="0020200E" w:rsidP="0020200E">
            <w:pPr>
              <w:pStyle w:val="NoSpacing"/>
              <w:rPr>
                <w:rFonts w:ascii="Times New Roman" w:hAnsi="Times New Roman" w:cs="Times New Roman"/>
                <w:sz w:val="24"/>
                <w:szCs w:val="24"/>
              </w:rPr>
            </w:pPr>
          </w:p>
        </w:tc>
        <w:tc>
          <w:tcPr>
            <w:tcW w:w="1596"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15%</w:t>
            </w:r>
          </w:p>
        </w:tc>
      </w:tr>
      <w:tr w:rsidR="0020200E" w:rsidRPr="00CA4D93" w:rsidTr="003E5DC0">
        <w:tc>
          <w:tcPr>
            <w:tcW w:w="2718"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Chronic lung disease</w:t>
            </w:r>
          </w:p>
        </w:tc>
        <w:tc>
          <w:tcPr>
            <w:tcW w:w="900"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27</w:t>
            </w:r>
          </w:p>
        </w:tc>
        <w:tc>
          <w:tcPr>
            <w:tcW w:w="1260"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20</w:t>
            </w:r>
          </w:p>
        </w:tc>
        <w:tc>
          <w:tcPr>
            <w:tcW w:w="1506"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21</w:t>
            </w:r>
          </w:p>
        </w:tc>
        <w:tc>
          <w:tcPr>
            <w:tcW w:w="1596" w:type="dxa"/>
          </w:tcPr>
          <w:p w:rsidR="0020200E" w:rsidRPr="00CA4D93" w:rsidRDefault="0020200E" w:rsidP="0020200E">
            <w:pPr>
              <w:pStyle w:val="NoSpacing"/>
              <w:rPr>
                <w:rFonts w:ascii="Times New Roman" w:hAnsi="Times New Roman" w:cs="Times New Roman"/>
                <w:sz w:val="24"/>
                <w:szCs w:val="24"/>
              </w:rPr>
            </w:pPr>
          </w:p>
        </w:tc>
        <w:tc>
          <w:tcPr>
            <w:tcW w:w="1596"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5%</w:t>
            </w:r>
          </w:p>
        </w:tc>
      </w:tr>
      <w:tr w:rsidR="0020200E" w:rsidRPr="00CA4D93" w:rsidTr="003E5DC0">
        <w:tc>
          <w:tcPr>
            <w:tcW w:w="2718" w:type="dxa"/>
          </w:tcPr>
          <w:p w:rsidR="003E5DC0"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Stroke</w:t>
            </w:r>
          </w:p>
        </w:tc>
        <w:tc>
          <w:tcPr>
            <w:tcW w:w="900"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27</w:t>
            </w:r>
          </w:p>
        </w:tc>
        <w:tc>
          <w:tcPr>
            <w:tcW w:w="1260"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20</w:t>
            </w:r>
          </w:p>
        </w:tc>
        <w:tc>
          <w:tcPr>
            <w:tcW w:w="1506"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24</w:t>
            </w:r>
          </w:p>
        </w:tc>
        <w:tc>
          <w:tcPr>
            <w:tcW w:w="1596" w:type="dxa"/>
          </w:tcPr>
          <w:p w:rsidR="0020200E" w:rsidRPr="00CA4D93" w:rsidRDefault="0020200E" w:rsidP="0020200E">
            <w:pPr>
              <w:pStyle w:val="NoSpacing"/>
              <w:rPr>
                <w:rFonts w:ascii="Times New Roman" w:hAnsi="Times New Roman" w:cs="Times New Roman"/>
                <w:sz w:val="24"/>
                <w:szCs w:val="24"/>
              </w:rPr>
            </w:pPr>
          </w:p>
        </w:tc>
        <w:tc>
          <w:tcPr>
            <w:tcW w:w="1596" w:type="dxa"/>
          </w:tcPr>
          <w:p w:rsidR="0020200E"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15%</w:t>
            </w:r>
          </w:p>
        </w:tc>
      </w:tr>
      <w:tr w:rsidR="003E5DC0" w:rsidRPr="00CA4D93" w:rsidTr="003E5DC0">
        <w:tc>
          <w:tcPr>
            <w:tcW w:w="2718" w:type="dxa"/>
          </w:tcPr>
          <w:p w:rsidR="003E5DC0"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Drug –related</w:t>
            </w:r>
          </w:p>
        </w:tc>
        <w:tc>
          <w:tcPr>
            <w:tcW w:w="900" w:type="dxa"/>
          </w:tcPr>
          <w:p w:rsidR="003E5DC0"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19</w:t>
            </w:r>
          </w:p>
        </w:tc>
        <w:tc>
          <w:tcPr>
            <w:tcW w:w="1260" w:type="dxa"/>
          </w:tcPr>
          <w:p w:rsidR="003E5DC0"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13</w:t>
            </w:r>
          </w:p>
        </w:tc>
        <w:tc>
          <w:tcPr>
            <w:tcW w:w="1506" w:type="dxa"/>
          </w:tcPr>
          <w:p w:rsidR="003E5DC0"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10</w:t>
            </w:r>
          </w:p>
        </w:tc>
        <w:tc>
          <w:tcPr>
            <w:tcW w:w="1596" w:type="dxa"/>
          </w:tcPr>
          <w:p w:rsidR="003E5DC0"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40%</w:t>
            </w:r>
          </w:p>
        </w:tc>
        <w:tc>
          <w:tcPr>
            <w:tcW w:w="1596" w:type="dxa"/>
          </w:tcPr>
          <w:p w:rsidR="003E5DC0" w:rsidRPr="00CA4D93" w:rsidRDefault="003E5DC0" w:rsidP="0020200E">
            <w:pPr>
              <w:pStyle w:val="NoSpacing"/>
              <w:rPr>
                <w:rFonts w:ascii="Times New Roman" w:hAnsi="Times New Roman" w:cs="Times New Roman"/>
                <w:sz w:val="24"/>
                <w:szCs w:val="24"/>
              </w:rPr>
            </w:pPr>
          </w:p>
        </w:tc>
      </w:tr>
      <w:tr w:rsidR="003E5DC0" w:rsidRPr="00CA4D93" w:rsidTr="003E5DC0">
        <w:tc>
          <w:tcPr>
            <w:tcW w:w="2718" w:type="dxa"/>
          </w:tcPr>
          <w:p w:rsidR="003E5DC0"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AIDS</w:t>
            </w:r>
          </w:p>
        </w:tc>
        <w:tc>
          <w:tcPr>
            <w:tcW w:w="900" w:type="dxa"/>
          </w:tcPr>
          <w:p w:rsidR="003E5DC0"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17</w:t>
            </w:r>
          </w:p>
        </w:tc>
        <w:tc>
          <w:tcPr>
            <w:tcW w:w="1260" w:type="dxa"/>
          </w:tcPr>
          <w:p w:rsidR="003E5DC0"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12</w:t>
            </w:r>
          </w:p>
        </w:tc>
        <w:tc>
          <w:tcPr>
            <w:tcW w:w="1506" w:type="dxa"/>
          </w:tcPr>
          <w:p w:rsidR="003E5DC0"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22</w:t>
            </w:r>
          </w:p>
        </w:tc>
        <w:tc>
          <w:tcPr>
            <w:tcW w:w="1596" w:type="dxa"/>
          </w:tcPr>
          <w:p w:rsidR="003E5DC0" w:rsidRPr="00CA4D93" w:rsidRDefault="003E5DC0" w:rsidP="0020200E">
            <w:pPr>
              <w:pStyle w:val="NoSpacing"/>
              <w:rPr>
                <w:rFonts w:ascii="Times New Roman" w:hAnsi="Times New Roman" w:cs="Times New Roman"/>
                <w:sz w:val="24"/>
                <w:szCs w:val="24"/>
              </w:rPr>
            </w:pPr>
          </w:p>
        </w:tc>
        <w:tc>
          <w:tcPr>
            <w:tcW w:w="1596" w:type="dxa"/>
          </w:tcPr>
          <w:p w:rsidR="003E5DC0"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45%</w:t>
            </w:r>
          </w:p>
        </w:tc>
      </w:tr>
      <w:tr w:rsidR="003E5DC0" w:rsidRPr="00CA4D93" w:rsidTr="003E5DC0">
        <w:tc>
          <w:tcPr>
            <w:tcW w:w="2718" w:type="dxa"/>
          </w:tcPr>
          <w:p w:rsidR="003E5DC0"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Suicide </w:t>
            </w:r>
          </w:p>
        </w:tc>
        <w:tc>
          <w:tcPr>
            <w:tcW w:w="900" w:type="dxa"/>
          </w:tcPr>
          <w:p w:rsidR="003E5DC0"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15</w:t>
            </w:r>
          </w:p>
        </w:tc>
        <w:tc>
          <w:tcPr>
            <w:tcW w:w="1260" w:type="dxa"/>
          </w:tcPr>
          <w:p w:rsidR="003E5DC0"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10</w:t>
            </w:r>
          </w:p>
        </w:tc>
        <w:tc>
          <w:tcPr>
            <w:tcW w:w="1506" w:type="dxa"/>
          </w:tcPr>
          <w:p w:rsidR="003E5DC0"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5</w:t>
            </w:r>
          </w:p>
        </w:tc>
        <w:tc>
          <w:tcPr>
            <w:tcW w:w="1596" w:type="dxa"/>
          </w:tcPr>
          <w:p w:rsidR="003E5DC0" w:rsidRPr="00CA4D93" w:rsidRDefault="003E5DC0" w:rsidP="0020200E">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2 times</w:t>
            </w:r>
          </w:p>
        </w:tc>
        <w:tc>
          <w:tcPr>
            <w:tcW w:w="1596" w:type="dxa"/>
          </w:tcPr>
          <w:p w:rsidR="003E5DC0" w:rsidRPr="00CA4D93" w:rsidRDefault="003E5DC0" w:rsidP="0020200E">
            <w:pPr>
              <w:pStyle w:val="NoSpacing"/>
              <w:rPr>
                <w:rFonts w:ascii="Times New Roman" w:hAnsi="Times New Roman" w:cs="Times New Roman"/>
                <w:sz w:val="24"/>
                <w:szCs w:val="24"/>
              </w:rPr>
            </w:pPr>
          </w:p>
        </w:tc>
      </w:tr>
    </w:tbl>
    <w:p w:rsidR="0020200E" w:rsidRDefault="0020200E" w:rsidP="0020200E">
      <w:pPr>
        <w:pStyle w:val="NoSpacing"/>
      </w:pPr>
    </w:p>
    <w:p w:rsidR="00CA4D93" w:rsidRDefault="00CA4D93">
      <w:pPr>
        <w:rPr>
          <w:rFonts w:ascii="Times New Roman" w:hAnsi="Times New Roman" w:cs="Times New Roman"/>
          <w:sz w:val="32"/>
        </w:rPr>
      </w:pPr>
    </w:p>
    <w:p w:rsidR="00CA4D93" w:rsidRPr="00F139A9" w:rsidRDefault="00CA4D93">
      <w:pPr>
        <w:rPr>
          <w:rFonts w:ascii="Times New Roman" w:hAnsi="Times New Roman" w:cs="Times New Roman"/>
          <w:b/>
          <w:sz w:val="32"/>
        </w:rPr>
      </w:pPr>
      <w:r w:rsidRPr="00F139A9">
        <w:rPr>
          <w:rFonts w:ascii="Times New Roman" w:hAnsi="Times New Roman" w:cs="Times New Roman"/>
          <w:b/>
          <w:sz w:val="32"/>
        </w:rPr>
        <w:t>Patterns of Morbidity:</w:t>
      </w:r>
    </w:p>
    <w:tbl>
      <w:tblPr>
        <w:tblStyle w:val="TableGrid"/>
        <w:tblW w:w="0" w:type="auto"/>
        <w:tblLayout w:type="fixed"/>
        <w:tblLook w:val="04A0"/>
      </w:tblPr>
      <w:tblGrid>
        <w:gridCol w:w="2718"/>
        <w:gridCol w:w="900"/>
        <w:gridCol w:w="1260"/>
        <w:gridCol w:w="1506"/>
        <w:gridCol w:w="1596"/>
        <w:gridCol w:w="1596"/>
      </w:tblGrid>
      <w:tr w:rsidR="00CA4D93" w:rsidRPr="00CA4D93" w:rsidTr="00A4508F">
        <w:tc>
          <w:tcPr>
            <w:tcW w:w="2718" w:type="dxa"/>
            <w:tcBorders>
              <w:right w:val="nil"/>
            </w:tcBorders>
          </w:tcPr>
          <w:p w:rsidR="00CA4D93" w:rsidRPr="00CA4D93" w:rsidRDefault="00CA4D93" w:rsidP="00A4508F">
            <w:pPr>
              <w:pStyle w:val="NoSpacing"/>
              <w:rPr>
                <w:rFonts w:ascii="Times New Roman" w:hAnsi="Times New Roman" w:cs="Times New Roman"/>
                <w:sz w:val="24"/>
                <w:szCs w:val="24"/>
              </w:rPr>
            </w:pPr>
          </w:p>
        </w:tc>
        <w:tc>
          <w:tcPr>
            <w:tcW w:w="2160" w:type="dxa"/>
            <w:gridSpan w:val="2"/>
            <w:tcBorders>
              <w:top w:val="single" w:sz="4" w:space="0" w:color="auto"/>
              <w:left w:val="nil"/>
              <w:bottom w:val="single" w:sz="4" w:space="0" w:color="auto"/>
              <w:right w:val="nil"/>
            </w:tcBorders>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Gramercy Park/ Murray Hill</w:t>
            </w:r>
          </w:p>
        </w:tc>
        <w:tc>
          <w:tcPr>
            <w:tcW w:w="1506" w:type="dxa"/>
            <w:tcBorders>
              <w:left w:val="nil"/>
              <w:bottom w:val="single" w:sz="4" w:space="0" w:color="auto"/>
              <w:right w:val="nil"/>
            </w:tcBorders>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New York City</w:t>
            </w:r>
          </w:p>
        </w:tc>
        <w:tc>
          <w:tcPr>
            <w:tcW w:w="3192" w:type="dxa"/>
            <w:gridSpan w:val="2"/>
            <w:tcBorders>
              <w:left w:val="nil"/>
            </w:tcBorders>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Gramercy Park/ Murray Hill compared to NYC as a whole.</w:t>
            </w:r>
          </w:p>
        </w:tc>
      </w:tr>
      <w:tr w:rsidR="00CA4D93" w:rsidRPr="00CA4D93" w:rsidTr="00A4508F">
        <w:trPr>
          <w:trHeight w:val="1133"/>
        </w:trPr>
        <w:tc>
          <w:tcPr>
            <w:tcW w:w="2718" w:type="dxa"/>
            <w:tcBorders>
              <w:right w:val="nil"/>
            </w:tcBorders>
          </w:tcPr>
          <w:p w:rsidR="00CA4D93" w:rsidRPr="00CA4D93" w:rsidRDefault="00CA4D93" w:rsidP="00A4508F">
            <w:pPr>
              <w:pStyle w:val="NoSpacing"/>
              <w:rPr>
                <w:rFonts w:ascii="Times New Roman" w:hAnsi="Times New Roman" w:cs="Times New Roman"/>
                <w:sz w:val="24"/>
                <w:szCs w:val="24"/>
              </w:rPr>
            </w:pPr>
          </w:p>
        </w:tc>
        <w:tc>
          <w:tcPr>
            <w:tcW w:w="900" w:type="dxa"/>
            <w:tcBorders>
              <w:top w:val="single" w:sz="4" w:space="0" w:color="auto"/>
              <w:left w:val="nil"/>
              <w:right w:val="nil"/>
            </w:tcBorders>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No.</w:t>
            </w:r>
            <w:r>
              <w:rPr>
                <w:rFonts w:ascii="Times New Roman" w:hAnsi="Times New Roman" w:cs="Times New Roman"/>
                <w:sz w:val="24"/>
                <w:szCs w:val="24"/>
              </w:rPr>
              <w:t xml:space="preserve"> of admission</w:t>
            </w:r>
          </w:p>
        </w:tc>
        <w:tc>
          <w:tcPr>
            <w:tcW w:w="1260" w:type="dxa"/>
            <w:tcBorders>
              <w:top w:val="single" w:sz="4" w:space="0" w:color="auto"/>
              <w:left w:val="nil"/>
              <w:right w:val="nil"/>
            </w:tcBorders>
          </w:tcPr>
          <w:p w:rsidR="00CA4D93" w:rsidRPr="00CA4D93" w:rsidRDefault="00CA4D93" w:rsidP="00A4508F">
            <w:pPr>
              <w:pStyle w:val="NoSpacing"/>
              <w:rPr>
                <w:rFonts w:ascii="Times New Roman" w:hAnsi="Times New Roman" w:cs="Times New Roman"/>
                <w:sz w:val="24"/>
                <w:szCs w:val="24"/>
              </w:rPr>
            </w:pPr>
            <w:r>
              <w:rPr>
                <w:rFonts w:ascii="Times New Roman" w:hAnsi="Times New Roman" w:cs="Times New Roman"/>
                <w:sz w:val="24"/>
                <w:szCs w:val="24"/>
              </w:rPr>
              <w:t>admission</w:t>
            </w:r>
            <w:r w:rsidRPr="00CA4D93">
              <w:rPr>
                <w:rFonts w:ascii="Times New Roman" w:hAnsi="Times New Roman" w:cs="Times New Roman"/>
                <w:sz w:val="24"/>
                <w:szCs w:val="24"/>
              </w:rPr>
              <w:t xml:space="preserve"> rate (per 100,000 people)*</w:t>
            </w:r>
          </w:p>
        </w:tc>
        <w:tc>
          <w:tcPr>
            <w:tcW w:w="1506" w:type="dxa"/>
            <w:tcBorders>
              <w:left w:val="nil"/>
              <w:right w:val="nil"/>
            </w:tcBorders>
          </w:tcPr>
          <w:p w:rsidR="00CA4D93" w:rsidRPr="00CA4D93" w:rsidRDefault="00CA4D93" w:rsidP="00A4508F">
            <w:pPr>
              <w:pStyle w:val="NoSpacing"/>
              <w:rPr>
                <w:rFonts w:ascii="Times New Roman" w:hAnsi="Times New Roman" w:cs="Times New Roman"/>
                <w:sz w:val="24"/>
                <w:szCs w:val="24"/>
              </w:rPr>
            </w:pPr>
            <w:r>
              <w:rPr>
                <w:rFonts w:ascii="Times New Roman" w:hAnsi="Times New Roman" w:cs="Times New Roman"/>
                <w:sz w:val="24"/>
                <w:szCs w:val="24"/>
              </w:rPr>
              <w:t>Admission</w:t>
            </w:r>
            <w:r w:rsidRPr="00CA4D93">
              <w:rPr>
                <w:rFonts w:ascii="Times New Roman" w:hAnsi="Times New Roman" w:cs="Times New Roman"/>
                <w:sz w:val="24"/>
                <w:szCs w:val="24"/>
              </w:rPr>
              <w:t xml:space="preserve"> rate (per 100’000 people)*</w:t>
            </w:r>
          </w:p>
        </w:tc>
        <w:tc>
          <w:tcPr>
            <w:tcW w:w="1596" w:type="dxa"/>
            <w:tcBorders>
              <w:left w:val="nil"/>
              <w:right w:val="nil"/>
            </w:tcBorders>
          </w:tcPr>
          <w:p w:rsidR="00CA4D93" w:rsidRPr="00CA4D93" w:rsidRDefault="00CA4D93" w:rsidP="00A4508F">
            <w:pPr>
              <w:pStyle w:val="NoSpacing"/>
              <w:rPr>
                <w:rFonts w:ascii="Times New Roman" w:hAnsi="Times New Roman" w:cs="Times New Roman"/>
                <w:sz w:val="24"/>
                <w:szCs w:val="24"/>
              </w:rPr>
            </w:pPr>
          </w:p>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Higher by</w:t>
            </w:r>
          </w:p>
        </w:tc>
        <w:tc>
          <w:tcPr>
            <w:tcW w:w="1596" w:type="dxa"/>
            <w:tcBorders>
              <w:left w:val="nil"/>
            </w:tcBorders>
          </w:tcPr>
          <w:p w:rsidR="00CA4D93" w:rsidRPr="00CA4D93" w:rsidRDefault="00CA4D93" w:rsidP="00A4508F">
            <w:pPr>
              <w:pStyle w:val="NoSpacing"/>
              <w:rPr>
                <w:rFonts w:ascii="Times New Roman" w:hAnsi="Times New Roman" w:cs="Times New Roman"/>
                <w:sz w:val="24"/>
                <w:szCs w:val="24"/>
              </w:rPr>
            </w:pPr>
          </w:p>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Lower by </w:t>
            </w:r>
          </w:p>
        </w:tc>
      </w:tr>
      <w:tr w:rsidR="00CA4D93" w:rsidRPr="00CA4D93" w:rsidTr="00A4508F">
        <w:tc>
          <w:tcPr>
            <w:tcW w:w="2718"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All causes</w:t>
            </w:r>
          </w:p>
        </w:tc>
        <w:tc>
          <w:tcPr>
            <w:tcW w:w="900" w:type="dxa"/>
          </w:tcPr>
          <w:p w:rsidR="00CA4D93" w:rsidRPr="00CA4D93" w:rsidRDefault="00CA4D93" w:rsidP="00A4508F">
            <w:pPr>
              <w:pStyle w:val="NoSpacing"/>
              <w:rPr>
                <w:rFonts w:ascii="Times New Roman" w:hAnsi="Times New Roman" w:cs="Times New Roman"/>
                <w:sz w:val="24"/>
                <w:szCs w:val="24"/>
              </w:rPr>
            </w:pPr>
            <w:r>
              <w:rPr>
                <w:rFonts w:ascii="Times New Roman" w:hAnsi="Times New Roman" w:cs="Times New Roman"/>
                <w:sz w:val="24"/>
                <w:szCs w:val="24"/>
              </w:rPr>
              <w:t>13,093</w:t>
            </w:r>
          </w:p>
        </w:tc>
        <w:tc>
          <w:tcPr>
            <w:tcW w:w="1260" w:type="dxa"/>
          </w:tcPr>
          <w:p w:rsidR="00CA4D93" w:rsidRPr="00CA4D93" w:rsidRDefault="000009D3" w:rsidP="00A4508F">
            <w:pPr>
              <w:pStyle w:val="NoSpacing"/>
              <w:rPr>
                <w:rFonts w:ascii="Times New Roman" w:hAnsi="Times New Roman" w:cs="Times New Roman"/>
                <w:sz w:val="24"/>
                <w:szCs w:val="24"/>
              </w:rPr>
            </w:pPr>
            <w:r>
              <w:rPr>
                <w:rFonts w:ascii="Times New Roman" w:hAnsi="Times New Roman" w:cs="Times New Roman"/>
                <w:sz w:val="24"/>
                <w:szCs w:val="24"/>
              </w:rPr>
              <w:t xml:space="preserve">   11,876</w:t>
            </w:r>
          </w:p>
        </w:tc>
        <w:tc>
          <w:tcPr>
            <w:tcW w:w="1506"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r w:rsidR="000009D3">
              <w:rPr>
                <w:rFonts w:ascii="Times New Roman" w:hAnsi="Times New Roman" w:cs="Times New Roman"/>
                <w:sz w:val="24"/>
                <w:szCs w:val="24"/>
              </w:rPr>
              <w:t>14,140</w:t>
            </w:r>
            <w:r w:rsidRPr="00CA4D93">
              <w:rPr>
                <w:rFonts w:ascii="Times New Roman" w:hAnsi="Times New Roman" w:cs="Times New Roman"/>
                <w:sz w:val="24"/>
                <w:szCs w:val="24"/>
              </w:rPr>
              <w:t xml:space="preserve">    </w:t>
            </w:r>
          </w:p>
        </w:tc>
        <w:tc>
          <w:tcPr>
            <w:tcW w:w="1596" w:type="dxa"/>
          </w:tcPr>
          <w:p w:rsidR="00CA4D93" w:rsidRPr="00CA4D93" w:rsidRDefault="00CA4D93" w:rsidP="00A4508F">
            <w:pPr>
              <w:pStyle w:val="NoSpacing"/>
              <w:rPr>
                <w:rFonts w:ascii="Times New Roman" w:hAnsi="Times New Roman" w:cs="Times New Roman"/>
                <w:sz w:val="24"/>
                <w:szCs w:val="24"/>
              </w:rPr>
            </w:pPr>
          </w:p>
        </w:tc>
        <w:tc>
          <w:tcPr>
            <w:tcW w:w="1596"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r w:rsidR="0025561B">
              <w:rPr>
                <w:rFonts w:ascii="Times New Roman" w:hAnsi="Times New Roman" w:cs="Times New Roman"/>
                <w:sz w:val="24"/>
                <w:szCs w:val="24"/>
              </w:rPr>
              <w:t xml:space="preserve">        15%</w:t>
            </w:r>
            <w:r w:rsidRPr="00CA4D93">
              <w:rPr>
                <w:rFonts w:ascii="Times New Roman" w:hAnsi="Times New Roman" w:cs="Times New Roman"/>
                <w:sz w:val="24"/>
                <w:szCs w:val="24"/>
              </w:rPr>
              <w:t xml:space="preserve">       </w:t>
            </w:r>
          </w:p>
        </w:tc>
      </w:tr>
      <w:tr w:rsidR="00CA4D93" w:rsidRPr="00CA4D93" w:rsidTr="00A4508F">
        <w:tc>
          <w:tcPr>
            <w:tcW w:w="2718" w:type="dxa"/>
          </w:tcPr>
          <w:p w:rsidR="00CA4D93" w:rsidRPr="00CA4D93" w:rsidRDefault="00CA4D93" w:rsidP="00A4508F">
            <w:pPr>
              <w:pStyle w:val="NoSpacing"/>
              <w:rPr>
                <w:rFonts w:ascii="Times New Roman" w:hAnsi="Times New Roman" w:cs="Times New Roman"/>
                <w:sz w:val="24"/>
                <w:szCs w:val="24"/>
              </w:rPr>
            </w:pPr>
            <w:r>
              <w:rPr>
                <w:rFonts w:ascii="Times New Roman" w:hAnsi="Times New Roman" w:cs="Times New Roman"/>
                <w:sz w:val="24"/>
                <w:szCs w:val="24"/>
              </w:rPr>
              <w:t>Mental illness</w:t>
            </w:r>
          </w:p>
        </w:tc>
        <w:tc>
          <w:tcPr>
            <w:tcW w:w="900" w:type="dxa"/>
          </w:tcPr>
          <w:p w:rsidR="00CA4D93" w:rsidRDefault="00CA4D93" w:rsidP="00A4508F">
            <w:pPr>
              <w:pStyle w:val="NoSpacing"/>
              <w:rPr>
                <w:rFonts w:ascii="Times New Roman" w:hAnsi="Times New Roman" w:cs="Times New Roman"/>
                <w:sz w:val="24"/>
                <w:szCs w:val="24"/>
              </w:rPr>
            </w:pPr>
            <w:r>
              <w:rPr>
                <w:rFonts w:ascii="Times New Roman" w:hAnsi="Times New Roman" w:cs="Times New Roman"/>
                <w:sz w:val="24"/>
                <w:szCs w:val="24"/>
              </w:rPr>
              <w:t>1,394</w:t>
            </w:r>
          </w:p>
        </w:tc>
        <w:tc>
          <w:tcPr>
            <w:tcW w:w="1260" w:type="dxa"/>
          </w:tcPr>
          <w:p w:rsidR="00CA4D93" w:rsidRPr="00CA4D93" w:rsidRDefault="0025561B" w:rsidP="00A4508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009D3">
              <w:rPr>
                <w:rFonts w:ascii="Times New Roman" w:hAnsi="Times New Roman" w:cs="Times New Roman"/>
                <w:sz w:val="24"/>
                <w:szCs w:val="24"/>
              </w:rPr>
              <w:t>1,193</w:t>
            </w:r>
          </w:p>
        </w:tc>
        <w:tc>
          <w:tcPr>
            <w:tcW w:w="1506" w:type="dxa"/>
          </w:tcPr>
          <w:p w:rsidR="00CA4D93" w:rsidRPr="00CA4D93" w:rsidRDefault="0025561B" w:rsidP="00A4508F">
            <w:pPr>
              <w:pStyle w:val="NoSpacing"/>
              <w:rPr>
                <w:rFonts w:ascii="Times New Roman" w:hAnsi="Times New Roman" w:cs="Times New Roman"/>
                <w:sz w:val="24"/>
                <w:szCs w:val="24"/>
              </w:rPr>
            </w:pPr>
            <w:r>
              <w:rPr>
                <w:rFonts w:ascii="Times New Roman" w:hAnsi="Times New Roman" w:cs="Times New Roman"/>
                <w:sz w:val="24"/>
                <w:szCs w:val="24"/>
              </w:rPr>
              <w:t xml:space="preserve">         671</w:t>
            </w:r>
          </w:p>
        </w:tc>
        <w:tc>
          <w:tcPr>
            <w:tcW w:w="1596" w:type="dxa"/>
          </w:tcPr>
          <w:p w:rsidR="00CA4D93" w:rsidRPr="00CA4D93" w:rsidRDefault="0025561B" w:rsidP="00A4508F">
            <w:pPr>
              <w:pStyle w:val="NoSpacing"/>
              <w:rPr>
                <w:rFonts w:ascii="Times New Roman" w:hAnsi="Times New Roman" w:cs="Times New Roman"/>
                <w:sz w:val="24"/>
                <w:szCs w:val="24"/>
              </w:rPr>
            </w:pPr>
            <w:r>
              <w:rPr>
                <w:rFonts w:ascii="Times New Roman" w:hAnsi="Times New Roman" w:cs="Times New Roman"/>
                <w:sz w:val="24"/>
                <w:szCs w:val="24"/>
              </w:rPr>
              <w:t xml:space="preserve">        80%</w:t>
            </w:r>
          </w:p>
        </w:tc>
        <w:tc>
          <w:tcPr>
            <w:tcW w:w="1596" w:type="dxa"/>
          </w:tcPr>
          <w:p w:rsidR="00CA4D93" w:rsidRPr="00CA4D93" w:rsidRDefault="00CA4D93" w:rsidP="00A4508F">
            <w:pPr>
              <w:pStyle w:val="NoSpacing"/>
              <w:rPr>
                <w:rFonts w:ascii="Times New Roman" w:hAnsi="Times New Roman" w:cs="Times New Roman"/>
                <w:sz w:val="24"/>
                <w:szCs w:val="24"/>
              </w:rPr>
            </w:pPr>
          </w:p>
        </w:tc>
      </w:tr>
      <w:tr w:rsidR="00CA4D93" w:rsidRPr="00CA4D93" w:rsidTr="00A4508F">
        <w:tc>
          <w:tcPr>
            <w:tcW w:w="2718" w:type="dxa"/>
          </w:tcPr>
          <w:p w:rsidR="00CA4D93" w:rsidRDefault="00CA4D93" w:rsidP="00A4508F">
            <w:pPr>
              <w:pStyle w:val="NoSpacing"/>
              <w:rPr>
                <w:rFonts w:ascii="Times New Roman" w:hAnsi="Times New Roman" w:cs="Times New Roman"/>
                <w:sz w:val="24"/>
                <w:szCs w:val="24"/>
              </w:rPr>
            </w:pPr>
            <w:r>
              <w:rPr>
                <w:rFonts w:ascii="Times New Roman" w:hAnsi="Times New Roman" w:cs="Times New Roman"/>
                <w:sz w:val="24"/>
                <w:szCs w:val="24"/>
              </w:rPr>
              <w:t>Accident and injuries</w:t>
            </w:r>
          </w:p>
        </w:tc>
        <w:tc>
          <w:tcPr>
            <w:tcW w:w="900" w:type="dxa"/>
          </w:tcPr>
          <w:p w:rsidR="00CA4D93" w:rsidRDefault="000009D3" w:rsidP="00A4508F">
            <w:pPr>
              <w:pStyle w:val="NoSpacing"/>
              <w:rPr>
                <w:rFonts w:ascii="Times New Roman" w:hAnsi="Times New Roman" w:cs="Times New Roman"/>
                <w:sz w:val="24"/>
                <w:szCs w:val="24"/>
              </w:rPr>
            </w:pPr>
            <w:r>
              <w:rPr>
                <w:rFonts w:ascii="Times New Roman" w:hAnsi="Times New Roman" w:cs="Times New Roman"/>
                <w:sz w:val="24"/>
                <w:szCs w:val="24"/>
              </w:rPr>
              <w:t>1,285</w:t>
            </w:r>
          </w:p>
        </w:tc>
        <w:tc>
          <w:tcPr>
            <w:tcW w:w="1260" w:type="dxa"/>
          </w:tcPr>
          <w:p w:rsidR="00CA4D93" w:rsidRPr="00CA4D93" w:rsidRDefault="0025561B" w:rsidP="00A4508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009D3">
              <w:rPr>
                <w:rFonts w:ascii="Times New Roman" w:hAnsi="Times New Roman" w:cs="Times New Roman"/>
                <w:sz w:val="24"/>
                <w:szCs w:val="24"/>
              </w:rPr>
              <w:t>1,191</w:t>
            </w:r>
          </w:p>
        </w:tc>
        <w:tc>
          <w:tcPr>
            <w:tcW w:w="1506" w:type="dxa"/>
          </w:tcPr>
          <w:p w:rsidR="00CA4D93" w:rsidRPr="00CA4D93" w:rsidRDefault="0025561B" w:rsidP="00A4508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009D3">
              <w:rPr>
                <w:rFonts w:ascii="Times New Roman" w:hAnsi="Times New Roman" w:cs="Times New Roman"/>
                <w:sz w:val="24"/>
                <w:szCs w:val="24"/>
              </w:rPr>
              <w:t>1,209</w:t>
            </w:r>
          </w:p>
        </w:tc>
        <w:tc>
          <w:tcPr>
            <w:tcW w:w="1596" w:type="dxa"/>
          </w:tcPr>
          <w:p w:rsidR="00CA4D93" w:rsidRPr="00CA4D93" w:rsidRDefault="00CA4D93" w:rsidP="00A4508F">
            <w:pPr>
              <w:pStyle w:val="NoSpacing"/>
              <w:rPr>
                <w:rFonts w:ascii="Times New Roman" w:hAnsi="Times New Roman" w:cs="Times New Roman"/>
                <w:sz w:val="24"/>
                <w:szCs w:val="24"/>
              </w:rPr>
            </w:pPr>
          </w:p>
        </w:tc>
        <w:tc>
          <w:tcPr>
            <w:tcW w:w="1596" w:type="dxa"/>
          </w:tcPr>
          <w:p w:rsidR="00CA4D93" w:rsidRPr="00CA4D93" w:rsidRDefault="0025561B" w:rsidP="00A4508F">
            <w:pPr>
              <w:pStyle w:val="NoSpacing"/>
              <w:rPr>
                <w:rFonts w:ascii="Times New Roman" w:hAnsi="Times New Roman" w:cs="Times New Roman"/>
                <w:sz w:val="24"/>
                <w:szCs w:val="24"/>
              </w:rPr>
            </w:pPr>
            <w:r>
              <w:rPr>
                <w:rFonts w:ascii="Times New Roman" w:hAnsi="Times New Roman" w:cs="Times New Roman"/>
                <w:sz w:val="24"/>
                <w:szCs w:val="24"/>
              </w:rPr>
              <w:t xml:space="preserve">       &lt;2.5%</w:t>
            </w:r>
          </w:p>
        </w:tc>
      </w:tr>
      <w:tr w:rsidR="00CA4D93" w:rsidRPr="00CA4D93" w:rsidTr="00A4508F">
        <w:tc>
          <w:tcPr>
            <w:tcW w:w="2718" w:type="dxa"/>
          </w:tcPr>
          <w:p w:rsidR="00CA4D93" w:rsidRDefault="000009D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Heart disease</w:t>
            </w:r>
          </w:p>
        </w:tc>
        <w:tc>
          <w:tcPr>
            <w:tcW w:w="900" w:type="dxa"/>
          </w:tcPr>
          <w:p w:rsidR="00CA4D93" w:rsidRDefault="000009D3" w:rsidP="00A4508F">
            <w:pPr>
              <w:pStyle w:val="NoSpacing"/>
              <w:rPr>
                <w:rFonts w:ascii="Times New Roman" w:hAnsi="Times New Roman" w:cs="Times New Roman"/>
                <w:sz w:val="24"/>
                <w:szCs w:val="24"/>
              </w:rPr>
            </w:pPr>
            <w:r>
              <w:rPr>
                <w:rFonts w:ascii="Times New Roman" w:hAnsi="Times New Roman" w:cs="Times New Roman"/>
                <w:sz w:val="24"/>
                <w:szCs w:val="24"/>
              </w:rPr>
              <w:t>1,271</w:t>
            </w:r>
          </w:p>
        </w:tc>
        <w:tc>
          <w:tcPr>
            <w:tcW w:w="1260" w:type="dxa"/>
          </w:tcPr>
          <w:p w:rsidR="00CA4D93" w:rsidRPr="00CA4D93" w:rsidRDefault="0025561B" w:rsidP="00A4508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009D3">
              <w:rPr>
                <w:rFonts w:ascii="Times New Roman" w:hAnsi="Times New Roman" w:cs="Times New Roman"/>
                <w:sz w:val="24"/>
                <w:szCs w:val="24"/>
              </w:rPr>
              <w:t>1,226</w:t>
            </w:r>
          </w:p>
        </w:tc>
        <w:tc>
          <w:tcPr>
            <w:tcW w:w="1506" w:type="dxa"/>
          </w:tcPr>
          <w:p w:rsidR="00CA4D93" w:rsidRPr="00CA4D93" w:rsidRDefault="0025561B" w:rsidP="00A4508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009D3">
              <w:rPr>
                <w:rFonts w:ascii="Times New Roman" w:hAnsi="Times New Roman" w:cs="Times New Roman"/>
                <w:sz w:val="24"/>
                <w:szCs w:val="24"/>
              </w:rPr>
              <w:t>1,744</w:t>
            </w:r>
          </w:p>
        </w:tc>
        <w:tc>
          <w:tcPr>
            <w:tcW w:w="1596" w:type="dxa"/>
          </w:tcPr>
          <w:p w:rsidR="00CA4D93" w:rsidRPr="00CA4D93" w:rsidRDefault="00CA4D93" w:rsidP="00A4508F">
            <w:pPr>
              <w:pStyle w:val="NoSpacing"/>
              <w:rPr>
                <w:rFonts w:ascii="Times New Roman" w:hAnsi="Times New Roman" w:cs="Times New Roman"/>
                <w:sz w:val="24"/>
                <w:szCs w:val="24"/>
              </w:rPr>
            </w:pPr>
          </w:p>
        </w:tc>
        <w:tc>
          <w:tcPr>
            <w:tcW w:w="1596" w:type="dxa"/>
          </w:tcPr>
          <w:p w:rsidR="00CA4D93" w:rsidRPr="00CA4D93" w:rsidRDefault="0025561B" w:rsidP="00A4508F">
            <w:pPr>
              <w:pStyle w:val="NoSpacing"/>
              <w:rPr>
                <w:rFonts w:ascii="Times New Roman" w:hAnsi="Times New Roman" w:cs="Times New Roman"/>
                <w:sz w:val="24"/>
                <w:szCs w:val="24"/>
              </w:rPr>
            </w:pPr>
            <w:r>
              <w:rPr>
                <w:rFonts w:ascii="Times New Roman" w:hAnsi="Times New Roman" w:cs="Times New Roman"/>
                <w:sz w:val="24"/>
                <w:szCs w:val="24"/>
              </w:rPr>
              <w:t xml:space="preserve">         30%</w:t>
            </w:r>
          </w:p>
        </w:tc>
      </w:tr>
      <w:tr w:rsidR="00CA4D93" w:rsidRPr="00CA4D93" w:rsidTr="00A4508F">
        <w:tc>
          <w:tcPr>
            <w:tcW w:w="2718" w:type="dxa"/>
          </w:tcPr>
          <w:p w:rsidR="00CA4D93" w:rsidRPr="00CA4D93" w:rsidRDefault="000009D3" w:rsidP="00A4508F">
            <w:pPr>
              <w:pStyle w:val="NoSpacing"/>
              <w:rPr>
                <w:rFonts w:ascii="Times New Roman" w:hAnsi="Times New Roman" w:cs="Times New Roman"/>
                <w:sz w:val="24"/>
                <w:szCs w:val="24"/>
              </w:rPr>
            </w:pPr>
            <w:r>
              <w:rPr>
                <w:rFonts w:ascii="Times New Roman" w:hAnsi="Times New Roman" w:cs="Times New Roman"/>
                <w:sz w:val="24"/>
                <w:szCs w:val="24"/>
              </w:rPr>
              <w:t>Alcohol related</w:t>
            </w:r>
          </w:p>
        </w:tc>
        <w:tc>
          <w:tcPr>
            <w:tcW w:w="900" w:type="dxa"/>
          </w:tcPr>
          <w:p w:rsidR="00CA4D93" w:rsidRPr="00CA4D93" w:rsidRDefault="000009D3" w:rsidP="00A4508F">
            <w:pPr>
              <w:pStyle w:val="NoSpacing"/>
              <w:rPr>
                <w:rFonts w:ascii="Times New Roman" w:hAnsi="Times New Roman" w:cs="Times New Roman"/>
                <w:sz w:val="24"/>
                <w:szCs w:val="24"/>
              </w:rPr>
            </w:pPr>
            <w:r>
              <w:rPr>
                <w:rFonts w:ascii="Times New Roman" w:hAnsi="Times New Roman" w:cs="Times New Roman"/>
                <w:sz w:val="24"/>
                <w:szCs w:val="24"/>
              </w:rPr>
              <w:t>990</w:t>
            </w:r>
          </w:p>
        </w:tc>
        <w:tc>
          <w:tcPr>
            <w:tcW w:w="1260"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r w:rsidR="0025561B">
              <w:rPr>
                <w:rFonts w:ascii="Times New Roman" w:hAnsi="Times New Roman" w:cs="Times New Roman"/>
                <w:sz w:val="24"/>
                <w:szCs w:val="24"/>
              </w:rPr>
              <w:t xml:space="preserve">      </w:t>
            </w:r>
            <w:r w:rsidR="000009D3">
              <w:rPr>
                <w:rFonts w:ascii="Times New Roman" w:hAnsi="Times New Roman" w:cs="Times New Roman"/>
                <w:sz w:val="24"/>
                <w:szCs w:val="24"/>
              </w:rPr>
              <w:t>855</w:t>
            </w:r>
            <w:r w:rsidRPr="00CA4D93">
              <w:rPr>
                <w:rFonts w:ascii="Times New Roman" w:hAnsi="Times New Roman" w:cs="Times New Roman"/>
                <w:sz w:val="24"/>
                <w:szCs w:val="24"/>
              </w:rPr>
              <w:t xml:space="preserve">     </w:t>
            </w:r>
          </w:p>
        </w:tc>
        <w:tc>
          <w:tcPr>
            <w:tcW w:w="1506"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r w:rsidR="000009D3">
              <w:rPr>
                <w:rFonts w:ascii="Times New Roman" w:hAnsi="Times New Roman" w:cs="Times New Roman"/>
                <w:sz w:val="24"/>
                <w:szCs w:val="24"/>
              </w:rPr>
              <w:t>387</w:t>
            </w:r>
          </w:p>
        </w:tc>
        <w:tc>
          <w:tcPr>
            <w:tcW w:w="1596" w:type="dxa"/>
          </w:tcPr>
          <w:p w:rsidR="00CA4D93" w:rsidRPr="00CA4D93" w:rsidRDefault="0025561B" w:rsidP="00A4508F">
            <w:pPr>
              <w:pStyle w:val="NoSpacing"/>
              <w:rPr>
                <w:rFonts w:ascii="Times New Roman" w:hAnsi="Times New Roman" w:cs="Times New Roman"/>
                <w:sz w:val="24"/>
                <w:szCs w:val="24"/>
              </w:rPr>
            </w:pPr>
            <w:r>
              <w:rPr>
                <w:rFonts w:ascii="Times New Roman" w:hAnsi="Times New Roman" w:cs="Times New Roman"/>
                <w:sz w:val="24"/>
                <w:szCs w:val="24"/>
              </w:rPr>
              <w:t xml:space="preserve">      2 times</w:t>
            </w:r>
          </w:p>
        </w:tc>
        <w:tc>
          <w:tcPr>
            <w:tcW w:w="1596"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p>
        </w:tc>
      </w:tr>
      <w:tr w:rsidR="00CA4D93" w:rsidRPr="00CA4D93" w:rsidTr="00A4508F">
        <w:tc>
          <w:tcPr>
            <w:tcW w:w="2718"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Cancer</w:t>
            </w:r>
          </w:p>
        </w:tc>
        <w:tc>
          <w:tcPr>
            <w:tcW w:w="900" w:type="dxa"/>
          </w:tcPr>
          <w:p w:rsidR="00CA4D93" w:rsidRPr="00CA4D93" w:rsidRDefault="000009D3" w:rsidP="00A4508F">
            <w:pPr>
              <w:pStyle w:val="NoSpacing"/>
              <w:rPr>
                <w:rFonts w:ascii="Times New Roman" w:hAnsi="Times New Roman" w:cs="Times New Roman"/>
                <w:sz w:val="24"/>
                <w:szCs w:val="24"/>
              </w:rPr>
            </w:pPr>
            <w:r>
              <w:rPr>
                <w:rFonts w:ascii="Times New Roman" w:hAnsi="Times New Roman" w:cs="Times New Roman"/>
                <w:sz w:val="24"/>
                <w:szCs w:val="24"/>
              </w:rPr>
              <w:t>790</w:t>
            </w:r>
          </w:p>
        </w:tc>
        <w:tc>
          <w:tcPr>
            <w:tcW w:w="1260"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r w:rsidR="0025561B">
              <w:rPr>
                <w:rFonts w:ascii="Times New Roman" w:hAnsi="Times New Roman" w:cs="Times New Roman"/>
                <w:sz w:val="24"/>
                <w:szCs w:val="24"/>
              </w:rPr>
              <w:t xml:space="preserve">      </w:t>
            </w:r>
            <w:r w:rsidR="000009D3">
              <w:rPr>
                <w:rFonts w:ascii="Times New Roman" w:hAnsi="Times New Roman" w:cs="Times New Roman"/>
                <w:sz w:val="24"/>
                <w:szCs w:val="24"/>
              </w:rPr>
              <w:t>750</w:t>
            </w:r>
            <w:r w:rsidRPr="00CA4D93">
              <w:rPr>
                <w:rFonts w:ascii="Times New Roman" w:hAnsi="Times New Roman" w:cs="Times New Roman"/>
                <w:sz w:val="24"/>
                <w:szCs w:val="24"/>
              </w:rPr>
              <w:t xml:space="preserve">      </w:t>
            </w:r>
          </w:p>
        </w:tc>
        <w:tc>
          <w:tcPr>
            <w:tcW w:w="1506"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r w:rsidR="000009D3">
              <w:rPr>
                <w:rFonts w:ascii="Times New Roman" w:hAnsi="Times New Roman" w:cs="Times New Roman"/>
                <w:sz w:val="24"/>
                <w:szCs w:val="24"/>
              </w:rPr>
              <w:t>654</w:t>
            </w:r>
          </w:p>
        </w:tc>
        <w:tc>
          <w:tcPr>
            <w:tcW w:w="1596"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r w:rsidR="0025561B">
              <w:rPr>
                <w:rFonts w:ascii="Times New Roman" w:hAnsi="Times New Roman" w:cs="Times New Roman"/>
                <w:sz w:val="24"/>
                <w:szCs w:val="24"/>
              </w:rPr>
              <w:t>1</w:t>
            </w:r>
            <w:r w:rsidRPr="00CA4D93">
              <w:rPr>
                <w:rFonts w:ascii="Times New Roman" w:hAnsi="Times New Roman" w:cs="Times New Roman"/>
                <w:sz w:val="24"/>
                <w:szCs w:val="24"/>
              </w:rPr>
              <w:t>5%</w:t>
            </w:r>
          </w:p>
        </w:tc>
        <w:tc>
          <w:tcPr>
            <w:tcW w:w="1596" w:type="dxa"/>
          </w:tcPr>
          <w:p w:rsidR="00CA4D93" w:rsidRPr="00CA4D93" w:rsidRDefault="00CA4D93" w:rsidP="00A4508F">
            <w:pPr>
              <w:pStyle w:val="NoSpacing"/>
              <w:rPr>
                <w:rFonts w:ascii="Times New Roman" w:hAnsi="Times New Roman" w:cs="Times New Roman"/>
                <w:sz w:val="24"/>
                <w:szCs w:val="24"/>
              </w:rPr>
            </w:pPr>
          </w:p>
        </w:tc>
      </w:tr>
      <w:tr w:rsidR="00CA4D93" w:rsidRPr="00CA4D93" w:rsidTr="00A4508F">
        <w:tc>
          <w:tcPr>
            <w:tcW w:w="2718" w:type="dxa"/>
          </w:tcPr>
          <w:p w:rsidR="00CA4D93" w:rsidRPr="00CA4D93" w:rsidRDefault="000009D3" w:rsidP="00A4508F">
            <w:pPr>
              <w:pStyle w:val="NoSpacing"/>
              <w:rPr>
                <w:rFonts w:ascii="Times New Roman" w:hAnsi="Times New Roman" w:cs="Times New Roman"/>
                <w:sz w:val="24"/>
                <w:szCs w:val="24"/>
              </w:rPr>
            </w:pPr>
            <w:r>
              <w:rPr>
                <w:rFonts w:ascii="Times New Roman" w:hAnsi="Times New Roman" w:cs="Times New Roman"/>
                <w:sz w:val="24"/>
                <w:szCs w:val="24"/>
              </w:rPr>
              <w:t>Drug related</w:t>
            </w:r>
          </w:p>
        </w:tc>
        <w:tc>
          <w:tcPr>
            <w:tcW w:w="900" w:type="dxa"/>
          </w:tcPr>
          <w:p w:rsidR="00CA4D93" w:rsidRPr="00CA4D93" w:rsidRDefault="000009D3" w:rsidP="00A4508F">
            <w:pPr>
              <w:pStyle w:val="NoSpacing"/>
              <w:rPr>
                <w:rFonts w:ascii="Times New Roman" w:hAnsi="Times New Roman" w:cs="Times New Roman"/>
                <w:sz w:val="24"/>
                <w:szCs w:val="24"/>
              </w:rPr>
            </w:pPr>
            <w:r>
              <w:rPr>
                <w:rFonts w:ascii="Times New Roman" w:hAnsi="Times New Roman" w:cs="Times New Roman"/>
                <w:sz w:val="24"/>
                <w:szCs w:val="24"/>
              </w:rPr>
              <w:t>325</w:t>
            </w:r>
          </w:p>
        </w:tc>
        <w:tc>
          <w:tcPr>
            <w:tcW w:w="1260"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r w:rsidR="000009D3">
              <w:rPr>
                <w:rFonts w:ascii="Times New Roman" w:hAnsi="Times New Roman" w:cs="Times New Roman"/>
                <w:sz w:val="24"/>
                <w:szCs w:val="24"/>
              </w:rPr>
              <w:t>278</w:t>
            </w:r>
          </w:p>
        </w:tc>
        <w:tc>
          <w:tcPr>
            <w:tcW w:w="1506"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r w:rsidR="000009D3">
              <w:rPr>
                <w:rFonts w:ascii="Times New Roman" w:hAnsi="Times New Roman" w:cs="Times New Roman"/>
                <w:sz w:val="24"/>
                <w:szCs w:val="24"/>
              </w:rPr>
              <w:t>492</w:t>
            </w:r>
          </w:p>
        </w:tc>
        <w:tc>
          <w:tcPr>
            <w:tcW w:w="1596" w:type="dxa"/>
          </w:tcPr>
          <w:p w:rsidR="00CA4D93" w:rsidRPr="00CA4D93" w:rsidRDefault="00CA4D93" w:rsidP="00A4508F">
            <w:pPr>
              <w:pStyle w:val="NoSpacing"/>
              <w:rPr>
                <w:rFonts w:ascii="Times New Roman" w:hAnsi="Times New Roman" w:cs="Times New Roman"/>
                <w:sz w:val="24"/>
                <w:szCs w:val="24"/>
              </w:rPr>
            </w:pPr>
          </w:p>
        </w:tc>
        <w:tc>
          <w:tcPr>
            <w:tcW w:w="1596"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r w:rsidR="0025561B">
              <w:rPr>
                <w:rFonts w:ascii="Times New Roman" w:hAnsi="Times New Roman" w:cs="Times New Roman"/>
                <w:sz w:val="24"/>
                <w:szCs w:val="24"/>
              </w:rPr>
              <w:t>4</w:t>
            </w:r>
            <w:r w:rsidRPr="00CA4D93">
              <w:rPr>
                <w:rFonts w:ascii="Times New Roman" w:hAnsi="Times New Roman" w:cs="Times New Roman"/>
                <w:sz w:val="24"/>
                <w:szCs w:val="24"/>
              </w:rPr>
              <w:t>5%</w:t>
            </w:r>
          </w:p>
        </w:tc>
      </w:tr>
      <w:tr w:rsidR="00CA4D93" w:rsidRPr="00CA4D93" w:rsidTr="00A4508F">
        <w:tc>
          <w:tcPr>
            <w:tcW w:w="2718" w:type="dxa"/>
          </w:tcPr>
          <w:p w:rsidR="00CA4D93" w:rsidRPr="00CA4D93" w:rsidRDefault="000009D3" w:rsidP="00A4508F">
            <w:pPr>
              <w:pStyle w:val="NoSpacing"/>
              <w:rPr>
                <w:rFonts w:ascii="Times New Roman" w:hAnsi="Times New Roman" w:cs="Times New Roman"/>
                <w:sz w:val="24"/>
                <w:szCs w:val="24"/>
              </w:rPr>
            </w:pPr>
            <w:r>
              <w:rPr>
                <w:rFonts w:ascii="Times New Roman" w:hAnsi="Times New Roman" w:cs="Times New Roman"/>
                <w:sz w:val="24"/>
                <w:szCs w:val="24"/>
              </w:rPr>
              <w:lastRenderedPageBreak/>
              <w:t>Pneumonia and influenza</w:t>
            </w:r>
          </w:p>
        </w:tc>
        <w:tc>
          <w:tcPr>
            <w:tcW w:w="900" w:type="dxa"/>
          </w:tcPr>
          <w:p w:rsidR="00CA4D93" w:rsidRPr="00CA4D93" w:rsidRDefault="000009D3" w:rsidP="00A4508F">
            <w:pPr>
              <w:pStyle w:val="NoSpacing"/>
              <w:rPr>
                <w:rFonts w:ascii="Times New Roman" w:hAnsi="Times New Roman" w:cs="Times New Roman"/>
                <w:sz w:val="24"/>
                <w:szCs w:val="24"/>
              </w:rPr>
            </w:pPr>
            <w:r>
              <w:rPr>
                <w:rFonts w:ascii="Times New Roman" w:hAnsi="Times New Roman" w:cs="Times New Roman"/>
                <w:sz w:val="24"/>
                <w:szCs w:val="24"/>
              </w:rPr>
              <w:t>316</w:t>
            </w:r>
          </w:p>
        </w:tc>
        <w:tc>
          <w:tcPr>
            <w:tcW w:w="1260"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2</w:t>
            </w:r>
            <w:r w:rsidR="000009D3">
              <w:rPr>
                <w:rFonts w:ascii="Times New Roman" w:hAnsi="Times New Roman" w:cs="Times New Roman"/>
                <w:sz w:val="24"/>
                <w:szCs w:val="24"/>
              </w:rPr>
              <w:t>99</w:t>
            </w:r>
          </w:p>
        </w:tc>
        <w:tc>
          <w:tcPr>
            <w:tcW w:w="1506"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r w:rsidR="000009D3">
              <w:rPr>
                <w:rFonts w:ascii="Times New Roman" w:hAnsi="Times New Roman" w:cs="Times New Roman"/>
                <w:sz w:val="24"/>
                <w:szCs w:val="24"/>
              </w:rPr>
              <w:t>433</w:t>
            </w:r>
          </w:p>
        </w:tc>
        <w:tc>
          <w:tcPr>
            <w:tcW w:w="1596" w:type="dxa"/>
          </w:tcPr>
          <w:p w:rsidR="00CA4D93" w:rsidRPr="00CA4D93" w:rsidRDefault="00CA4D93" w:rsidP="00A4508F">
            <w:pPr>
              <w:pStyle w:val="NoSpacing"/>
              <w:rPr>
                <w:rFonts w:ascii="Times New Roman" w:hAnsi="Times New Roman" w:cs="Times New Roman"/>
                <w:sz w:val="24"/>
                <w:szCs w:val="24"/>
              </w:rPr>
            </w:pPr>
          </w:p>
        </w:tc>
        <w:tc>
          <w:tcPr>
            <w:tcW w:w="1596"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r w:rsidR="0025561B">
              <w:rPr>
                <w:rFonts w:ascii="Times New Roman" w:hAnsi="Times New Roman" w:cs="Times New Roman"/>
                <w:sz w:val="24"/>
                <w:szCs w:val="24"/>
              </w:rPr>
              <w:t>30</w:t>
            </w:r>
            <w:r w:rsidRPr="00CA4D93">
              <w:rPr>
                <w:rFonts w:ascii="Times New Roman" w:hAnsi="Times New Roman" w:cs="Times New Roman"/>
                <w:sz w:val="24"/>
                <w:szCs w:val="24"/>
              </w:rPr>
              <w:t>%</w:t>
            </w:r>
          </w:p>
        </w:tc>
      </w:tr>
      <w:tr w:rsidR="00CA4D93" w:rsidRPr="00CA4D93" w:rsidTr="00A4508F">
        <w:tc>
          <w:tcPr>
            <w:tcW w:w="2718"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Stroke</w:t>
            </w:r>
          </w:p>
        </w:tc>
        <w:tc>
          <w:tcPr>
            <w:tcW w:w="900" w:type="dxa"/>
          </w:tcPr>
          <w:p w:rsidR="00CA4D93" w:rsidRPr="00CA4D93" w:rsidRDefault="000009D3" w:rsidP="00A4508F">
            <w:pPr>
              <w:pStyle w:val="NoSpacing"/>
              <w:rPr>
                <w:rFonts w:ascii="Times New Roman" w:hAnsi="Times New Roman" w:cs="Times New Roman"/>
                <w:sz w:val="24"/>
                <w:szCs w:val="24"/>
              </w:rPr>
            </w:pPr>
            <w:r>
              <w:rPr>
                <w:rFonts w:ascii="Times New Roman" w:hAnsi="Times New Roman" w:cs="Times New Roman"/>
                <w:sz w:val="24"/>
                <w:szCs w:val="24"/>
              </w:rPr>
              <w:t>295</w:t>
            </w:r>
          </w:p>
        </w:tc>
        <w:tc>
          <w:tcPr>
            <w:tcW w:w="1260"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2</w:t>
            </w:r>
            <w:r w:rsidR="000009D3">
              <w:rPr>
                <w:rFonts w:ascii="Times New Roman" w:hAnsi="Times New Roman" w:cs="Times New Roman"/>
                <w:sz w:val="24"/>
                <w:szCs w:val="24"/>
              </w:rPr>
              <w:t>86</w:t>
            </w:r>
          </w:p>
        </w:tc>
        <w:tc>
          <w:tcPr>
            <w:tcW w:w="1506"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r w:rsidR="000009D3">
              <w:rPr>
                <w:rFonts w:ascii="Times New Roman" w:hAnsi="Times New Roman" w:cs="Times New Roman"/>
                <w:sz w:val="24"/>
                <w:szCs w:val="24"/>
              </w:rPr>
              <w:t>379</w:t>
            </w:r>
          </w:p>
        </w:tc>
        <w:tc>
          <w:tcPr>
            <w:tcW w:w="1596" w:type="dxa"/>
          </w:tcPr>
          <w:p w:rsidR="00CA4D93" w:rsidRPr="00CA4D93" w:rsidRDefault="00CA4D93" w:rsidP="00A4508F">
            <w:pPr>
              <w:pStyle w:val="NoSpacing"/>
              <w:rPr>
                <w:rFonts w:ascii="Times New Roman" w:hAnsi="Times New Roman" w:cs="Times New Roman"/>
                <w:sz w:val="24"/>
                <w:szCs w:val="24"/>
              </w:rPr>
            </w:pPr>
          </w:p>
        </w:tc>
        <w:tc>
          <w:tcPr>
            <w:tcW w:w="1596"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r w:rsidR="0025561B">
              <w:rPr>
                <w:rFonts w:ascii="Times New Roman" w:hAnsi="Times New Roman" w:cs="Times New Roman"/>
                <w:sz w:val="24"/>
                <w:szCs w:val="24"/>
              </w:rPr>
              <w:t xml:space="preserve">  2</w:t>
            </w:r>
            <w:r w:rsidRPr="00CA4D93">
              <w:rPr>
                <w:rFonts w:ascii="Times New Roman" w:hAnsi="Times New Roman" w:cs="Times New Roman"/>
                <w:sz w:val="24"/>
                <w:szCs w:val="24"/>
              </w:rPr>
              <w:t>5%</w:t>
            </w:r>
          </w:p>
        </w:tc>
      </w:tr>
      <w:tr w:rsidR="00CA4D93" w:rsidRPr="00CA4D93" w:rsidTr="00A4508F">
        <w:tc>
          <w:tcPr>
            <w:tcW w:w="2718" w:type="dxa"/>
          </w:tcPr>
          <w:p w:rsidR="00CA4D93" w:rsidRPr="00CA4D93" w:rsidRDefault="000009D3" w:rsidP="00A4508F">
            <w:pPr>
              <w:pStyle w:val="NoSpacing"/>
              <w:rPr>
                <w:rFonts w:ascii="Times New Roman" w:hAnsi="Times New Roman" w:cs="Times New Roman"/>
                <w:sz w:val="24"/>
                <w:szCs w:val="24"/>
              </w:rPr>
            </w:pPr>
            <w:r>
              <w:rPr>
                <w:rFonts w:ascii="Times New Roman" w:hAnsi="Times New Roman" w:cs="Times New Roman"/>
                <w:sz w:val="24"/>
                <w:szCs w:val="24"/>
              </w:rPr>
              <w:t>HIV/AIDS</w:t>
            </w:r>
          </w:p>
        </w:tc>
        <w:tc>
          <w:tcPr>
            <w:tcW w:w="900" w:type="dxa"/>
          </w:tcPr>
          <w:p w:rsidR="00CA4D93" w:rsidRPr="00CA4D93" w:rsidRDefault="000009D3" w:rsidP="00A4508F">
            <w:pPr>
              <w:pStyle w:val="NoSpacing"/>
              <w:rPr>
                <w:rFonts w:ascii="Times New Roman" w:hAnsi="Times New Roman" w:cs="Times New Roman"/>
                <w:sz w:val="24"/>
                <w:szCs w:val="24"/>
              </w:rPr>
            </w:pPr>
            <w:r>
              <w:rPr>
                <w:rFonts w:ascii="Times New Roman" w:hAnsi="Times New Roman" w:cs="Times New Roman"/>
                <w:sz w:val="24"/>
                <w:szCs w:val="24"/>
              </w:rPr>
              <w:t>155</w:t>
            </w:r>
          </w:p>
        </w:tc>
        <w:tc>
          <w:tcPr>
            <w:tcW w:w="1260"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13</w:t>
            </w:r>
            <w:r w:rsidR="000009D3">
              <w:rPr>
                <w:rFonts w:ascii="Times New Roman" w:hAnsi="Times New Roman" w:cs="Times New Roman"/>
                <w:sz w:val="24"/>
                <w:szCs w:val="24"/>
              </w:rPr>
              <w:t>2</w:t>
            </w:r>
          </w:p>
        </w:tc>
        <w:tc>
          <w:tcPr>
            <w:tcW w:w="1506"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r w:rsidR="000009D3">
              <w:rPr>
                <w:rFonts w:ascii="Times New Roman" w:hAnsi="Times New Roman" w:cs="Times New Roman"/>
                <w:sz w:val="24"/>
                <w:szCs w:val="24"/>
              </w:rPr>
              <w:t>167</w:t>
            </w:r>
          </w:p>
        </w:tc>
        <w:tc>
          <w:tcPr>
            <w:tcW w:w="1596"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p>
        </w:tc>
        <w:tc>
          <w:tcPr>
            <w:tcW w:w="1596" w:type="dxa"/>
          </w:tcPr>
          <w:p w:rsidR="00CA4D93" w:rsidRPr="00CA4D93" w:rsidRDefault="0025561B" w:rsidP="00A4508F">
            <w:pPr>
              <w:pStyle w:val="NoSpacing"/>
              <w:rPr>
                <w:rFonts w:ascii="Times New Roman" w:hAnsi="Times New Roman" w:cs="Times New Roman"/>
                <w:sz w:val="24"/>
                <w:szCs w:val="24"/>
              </w:rPr>
            </w:pPr>
            <w:r>
              <w:rPr>
                <w:rFonts w:ascii="Times New Roman" w:hAnsi="Times New Roman" w:cs="Times New Roman"/>
                <w:sz w:val="24"/>
                <w:szCs w:val="24"/>
              </w:rPr>
              <w:t xml:space="preserve">          20%</w:t>
            </w:r>
          </w:p>
        </w:tc>
      </w:tr>
      <w:tr w:rsidR="00CA4D93" w:rsidRPr="00CA4D93" w:rsidTr="00A4508F">
        <w:tc>
          <w:tcPr>
            <w:tcW w:w="2718" w:type="dxa"/>
          </w:tcPr>
          <w:p w:rsidR="00CA4D93" w:rsidRPr="00CA4D93" w:rsidRDefault="000009D3" w:rsidP="00A4508F">
            <w:pPr>
              <w:pStyle w:val="NoSpacing"/>
              <w:rPr>
                <w:rFonts w:ascii="Times New Roman" w:hAnsi="Times New Roman" w:cs="Times New Roman"/>
                <w:sz w:val="24"/>
                <w:szCs w:val="24"/>
              </w:rPr>
            </w:pPr>
            <w:r>
              <w:rPr>
                <w:rFonts w:ascii="Times New Roman" w:hAnsi="Times New Roman" w:cs="Times New Roman"/>
                <w:sz w:val="24"/>
                <w:szCs w:val="24"/>
              </w:rPr>
              <w:t>Chronic Lung disease</w:t>
            </w:r>
          </w:p>
        </w:tc>
        <w:tc>
          <w:tcPr>
            <w:tcW w:w="900"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1</w:t>
            </w:r>
            <w:r w:rsidR="000009D3">
              <w:rPr>
                <w:rFonts w:ascii="Times New Roman" w:hAnsi="Times New Roman" w:cs="Times New Roman"/>
                <w:sz w:val="24"/>
                <w:szCs w:val="24"/>
              </w:rPr>
              <w:t>35</w:t>
            </w:r>
          </w:p>
        </w:tc>
        <w:tc>
          <w:tcPr>
            <w:tcW w:w="1260" w:type="dxa"/>
          </w:tcPr>
          <w:p w:rsidR="00CA4D93" w:rsidRPr="00CA4D93" w:rsidRDefault="000009D3" w:rsidP="00A4508F">
            <w:pPr>
              <w:pStyle w:val="NoSpacing"/>
              <w:rPr>
                <w:rFonts w:ascii="Times New Roman" w:hAnsi="Times New Roman" w:cs="Times New Roman"/>
                <w:sz w:val="24"/>
                <w:szCs w:val="24"/>
              </w:rPr>
            </w:pPr>
            <w:r>
              <w:rPr>
                <w:rFonts w:ascii="Times New Roman" w:hAnsi="Times New Roman" w:cs="Times New Roman"/>
                <w:sz w:val="24"/>
                <w:szCs w:val="24"/>
              </w:rPr>
              <w:t xml:space="preserve">         131</w:t>
            </w:r>
          </w:p>
        </w:tc>
        <w:tc>
          <w:tcPr>
            <w:tcW w:w="1506"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r w:rsidR="000009D3">
              <w:rPr>
                <w:rFonts w:ascii="Times New Roman" w:hAnsi="Times New Roman" w:cs="Times New Roman"/>
                <w:sz w:val="24"/>
                <w:szCs w:val="24"/>
              </w:rPr>
              <w:t>193</w:t>
            </w:r>
          </w:p>
        </w:tc>
        <w:tc>
          <w:tcPr>
            <w:tcW w:w="1596" w:type="dxa"/>
          </w:tcPr>
          <w:p w:rsidR="00CA4D93" w:rsidRPr="00CA4D93" w:rsidRDefault="00CA4D93" w:rsidP="00A4508F">
            <w:pPr>
              <w:pStyle w:val="NoSpacing"/>
              <w:rPr>
                <w:rFonts w:ascii="Times New Roman" w:hAnsi="Times New Roman" w:cs="Times New Roman"/>
                <w:sz w:val="24"/>
                <w:szCs w:val="24"/>
              </w:rPr>
            </w:pPr>
          </w:p>
        </w:tc>
        <w:tc>
          <w:tcPr>
            <w:tcW w:w="1596" w:type="dxa"/>
          </w:tcPr>
          <w:p w:rsidR="00CA4D93" w:rsidRPr="00CA4D93" w:rsidRDefault="00CA4D93" w:rsidP="00A4508F">
            <w:pPr>
              <w:pStyle w:val="NoSpacing"/>
              <w:rPr>
                <w:rFonts w:ascii="Times New Roman" w:hAnsi="Times New Roman" w:cs="Times New Roman"/>
                <w:sz w:val="24"/>
                <w:szCs w:val="24"/>
              </w:rPr>
            </w:pPr>
            <w:r w:rsidRPr="00CA4D93">
              <w:rPr>
                <w:rFonts w:ascii="Times New Roman" w:hAnsi="Times New Roman" w:cs="Times New Roman"/>
                <w:sz w:val="24"/>
                <w:szCs w:val="24"/>
              </w:rPr>
              <w:t xml:space="preserve">          </w:t>
            </w:r>
            <w:r w:rsidR="0025561B">
              <w:rPr>
                <w:rFonts w:ascii="Times New Roman" w:hAnsi="Times New Roman" w:cs="Times New Roman"/>
                <w:sz w:val="24"/>
                <w:szCs w:val="24"/>
              </w:rPr>
              <w:t>30</w:t>
            </w:r>
            <w:r w:rsidRPr="00CA4D93">
              <w:rPr>
                <w:rFonts w:ascii="Times New Roman" w:hAnsi="Times New Roman" w:cs="Times New Roman"/>
                <w:sz w:val="24"/>
                <w:szCs w:val="24"/>
              </w:rPr>
              <w:t>%</w:t>
            </w:r>
          </w:p>
        </w:tc>
      </w:tr>
    </w:tbl>
    <w:p w:rsidR="00CA4D93" w:rsidRDefault="00CA4D93">
      <w:pPr>
        <w:rPr>
          <w:rFonts w:ascii="Times New Roman" w:hAnsi="Times New Roman" w:cs="Times New Roman"/>
          <w:sz w:val="32"/>
        </w:rPr>
      </w:pPr>
    </w:p>
    <w:p w:rsidR="00F139A9" w:rsidRDefault="00CA4D93">
      <w:pPr>
        <w:rPr>
          <w:rFonts w:ascii="Times New Roman" w:hAnsi="Times New Roman" w:cs="Times New Roman"/>
          <w:sz w:val="32"/>
        </w:rPr>
      </w:pPr>
      <w:r w:rsidRPr="00CA4D93">
        <w:rPr>
          <w:rFonts w:ascii="Times New Roman" w:hAnsi="Times New Roman" w:cs="Times New Roman"/>
          <w:sz w:val="32"/>
        </w:rPr>
        <w:t xml:space="preserve"> </w:t>
      </w:r>
      <w:r w:rsidR="0025561B">
        <w:rPr>
          <w:rFonts w:ascii="Times New Roman" w:hAnsi="Times New Roman" w:cs="Times New Roman"/>
          <w:sz w:val="32"/>
        </w:rPr>
        <w:tab/>
      </w:r>
      <w:r w:rsidR="0025561B">
        <w:rPr>
          <w:rFonts w:ascii="Times New Roman" w:hAnsi="Times New Roman" w:cs="Times New Roman"/>
          <w:sz w:val="32"/>
        </w:rPr>
        <w:tab/>
      </w:r>
      <w:r w:rsidR="0025561B">
        <w:rPr>
          <w:rFonts w:ascii="Times New Roman" w:hAnsi="Times New Roman" w:cs="Times New Roman"/>
          <w:sz w:val="32"/>
        </w:rPr>
        <w:tab/>
      </w:r>
      <w:r w:rsidR="0025561B">
        <w:rPr>
          <w:rFonts w:ascii="Times New Roman" w:hAnsi="Times New Roman" w:cs="Times New Roman"/>
          <w:sz w:val="32"/>
        </w:rPr>
        <w:tab/>
      </w:r>
    </w:p>
    <w:p w:rsidR="00F139A9" w:rsidRDefault="00F139A9">
      <w:pPr>
        <w:rPr>
          <w:rFonts w:ascii="Times New Roman" w:hAnsi="Times New Roman" w:cs="Times New Roman"/>
          <w:sz w:val="32"/>
        </w:rPr>
      </w:pPr>
    </w:p>
    <w:p w:rsidR="00F139A9" w:rsidRDefault="00F139A9">
      <w:pPr>
        <w:rPr>
          <w:rFonts w:ascii="Times New Roman" w:hAnsi="Times New Roman" w:cs="Times New Roman"/>
          <w:sz w:val="32"/>
        </w:rPr>
      </w:pPr>
    </w:p>
    <w:p w:rsidR="00F139A9" w:rsidRDefault="00F139A9">
      <w:pPr>
        <w:rPr>
          <w:rFonts w:ascii="Times New Roman" w:hAnsi="Times New Roman" w:cs="Times New Roman"/>
          <w:sz w:val="32"/>
        </w:rPr>
      </w:pPr>
    </w:p>
    <w:p w:rsidR="00F139A9" w:rsidRDefault="00F139A9">
      <w:pPr>
        <w:rPr>
          <w:rFonts w:ascii="Times New Roman" w:hAnsi="Times New Roman" w:cs="Times New Roman"/>
          <w:sz w:val="32"/>
        </w:rPr>
      </w:pPr>
    </w:p>
    <w:p w:rsidR="00F139A9" w:rsidRDefault="00F139A9">
      <w:pPr>
        <w:rPr>
          <w:rFonts w:ascii="Times New Roman" w:hAnsi="Times New Roman" w:cs="Times New Roman"/>
          <w:sz w:val="32"/>
        </w:rPr>
      </w:pPr>
    </w:p>
    <w:p w:rsidR="00F139A9" w:rsidRDefault="00F139A9">
      <w:pPr>
        <w:rPr>
          <w:rFonts w:ascii="Times New Roman" w:hAnsi="Times New Roman" w:cs="Times New Roman"/>
          <w:sz w:val="32"/>
        </w:rPr>
      </w:pPr>
    </w:p>
    <w:p w:rsidR="00F139A9" w:rsidRDefault="00F139A9">
      <w:pPr>
        <w:rPr>
          <w:rFonts w:ascii="Times New Roman" w:hAnsi="Times New Roman" w:cs="Times New Roman"/>
          <w:sz w:val="32"/>
        </w:rPr>
      </w:pPr>
    </w:p>
    <w:p w:rsidR="00F139A9" w:rsidRDefault="00F139A9">
      <w:pPr>
        <w:rPr>
          <w:rFonts w:ascii="Times New Roman" w:hAnsi="Times New Roman" w:cs="Times New Roman"/>
          <w:sz w:val="32"/>
        </w:rPr>
      </w:pPr>
    </w:p>
    <w:p w:rsidR="00F139A9" w:rsidRDefault="00F139A9">
      <w:pPr>
        <w:rPr>
          <w:rFonts w:ascii="Times New Roman" w:hAnsi="Times New Roman" w:cs="Times New Roman"/>
          <w:sz w:val="32"/>
        </w:rPr>
      </w:pPr>
    </w:p>
    <w:p w:rsidR="00F139A9" w:rsidRDefault="00F139A9">
      <w:pPr>
        <w:rPr>
          <w:rFonts w:ascii="Times New Roman" w:hAnsi="Times New Roman" w:cs="Times New Roman"/>
          <w:sz w:val="32"/>
        </w:rPr>
      </w:pPr>
    </w:p>
    <w:p w:rsidR="00F139A9" w:rsidRDefault="00F139A9">
      <w:pPr>
        <w:rPr>
          <w:rFonts w:ascii="Times New Roman" w:hAnsi="Times New Roman" w:cs="Times New Roman"/>
          <w:sz w:val="32"/>
        </w:rPr>
      </w:pPr>
    </w:p>
    <w:p w:rsidR="00F139A9" w:rsidRDefault="00F139A9">
      <w:pPr>
        <w:rPr>
          <w:rFonts w:ascii="Times New Roman" w:hAnsi="Times New Roman" w:cs="Times New Roman"/>
          <w:sz w:val="32"/>
        </w:rPr>
      </w:pPr>
    </w:p>
    <w:p w:rsidR="00F139A9" w:rsidRDefault="00F139A9">
      <w:pPr>
        <w:rPr>
          <w:rFonts w:ascii="Times New Roman" w:hAnsi="Times New Roman" w:cs="Times New Roman"/>
          <w:sz w:val="32"/>
        </w:rPr>
      </w:pPr>
    </w:p>
    <w:p w:rsidR="00F139A9" w:rsidRDefault="00F139A9">
      <w:pPr>
        <w:rPr>
          <w:rFonts w:ascii="Times New Roman" w:hAnsi="Times New Roman" w:cs="Times New Roman"/>
          <w:sz w:val="32"/>
        </w:rPr>
      </w:pPr>
    </w:p>
    <w:p w:rsidR="00F139A9" w:rsidRDefault="00F139A9">
      <w:pPr>
        <w:rPr>
          <w:rFonts w:ascii="Times New Roman" w:hAnsi="Times New Roman" w:cs="Times New Roman"/>
          <w:sz w:val="32"/>
        </w:rPr>
      </w:pPr>
    </w:p>
    <w:p w:rsidR="00F139A9" w:rsidRDefault="00F139A9">
      <w:pPr>
        <w:rPr>
          <w:rFonts w:ascii="Times New Roman" w:hAnsi="Times New Roman" w:cs="Times New Roman"/>
          <w:sz w:val="32"/>
        </w:rPr>
      </w:pPr>
    </w:p>
    <w:p w:rsidR="00F139A9" w:rsidRDefault="00F139A9">
      <w:pPr>
        <w:rPr>
          <w:rFonts w:ascii="Times New Roman" w:hAnsi="Times New Roman" w:cs="Times New Roman"/>
          <w:sz w:val="32"/>
        </w:rPr>
      </w:pPr>
    </w:p>
    <w:p w:rsidR="0020200E" w:rsidRDefault="00F139A9">
      <w:pPr>
        <w:rPr>
          <w:rFonts w:ascii="Times New Roman" w:hAnsi="Times New Roman" w:cs="Times New Roman"/>
          <w:b/>
          <w:sz w:val="32"/>
          <w:szCs w:val="32"/>
        </w:rPr>
      </w:pPr>
      <w:r>
        <w:rPr>
          <w:rFonts w:ascii="Times New Roman" w:hAnsi="Times New Roman" w:cs="Times New Roman"/>
          <w:sz w:val="32"/>
        </w:rPr>
        <w:lastRenderedPageBreak/>
        <w:tab/>
      </w:r>
      <w:r>
        <w:rPr>
          <w:rFonts w:ascii="Times New Roman" w:hAnsi="Times New Roman" w:cs="Times New Roman"/>
          <w:sz w:val="32"/>
        </w:rPr>
        <w:tab/>
      </w:r>
      <w:r>
        <w:rPr>
          <w:rFonts w:ascii="Times New Roman" w:hAnsi="Times New Roman" w:cs="Times New Roman"/>
          <w:sz w:val="32"/>
        </w:rPr>
        <w:tab/>
      </w:r>
      <w:r w:rsidR="0025561B">
        <w:rPr>
          <w:rFonts w:ascii="Times New Roman" w:hAnsi="Times New Roman" w:cs="Times New Roman"/>
          <w:sz w:val="32"/>
        </w:rPr>
        <w:tab/>
      </w:r>
      <w:r w:rsidR="0025561B" w:rsidRPr="00C86248">
        <w:rPr>
          <w:rFonts w:ascii="Times New Roman" w:hAnsi="Times New Roman" w:cs="Times New Roman"/>
          <w:b/>
          <w:sz w:val="32"/>
          <w:szCs w:val="32"/>
        </w:rPr>
        <w:t>Areas of assessment</w:t>
      </w:r>
    </w:p>
    <w:p w:rsidR="0025561B" w:rsidRDefault="0025561B" w:rsidP="0025561B">
      <w:pPr>
        <w:pStyle w:val="NoSpacing"/>
      </w:pPr>
      <w:r w:rsidRPr="0024393B">
        <w:rPr>
          <w:rFonts w:ascii="Times New Roman" w:hAnsi="Times New Roman" w:cs="Times New Roman"/>
          <w:b/>
          <w:sz w:val="24"/>
          <w:szCs w:val="24"/>
        </w:rPr>
        <w:t>ZIP CODE 10010 2010 Census Demographic</w:t>
      </w:r>
      <w:r>
        <w:t>s</w:t>
      </w:r>
    </w:p>
    <w:tbl>
      <w:tblPr>
        <w:tblStyle w:val="TableGrid"/>
        <w:tblW w:w="0" w:type="auto"/>
        <w:tblLook w:val="04A0"/>
      </w:tblPr>
      <w:tblGrid>
        <w:gridCol w:w="9576"/>
      </w:tblGrid>
      <w:tr w:rsidR="0025561B" w:rsidTr="00A4508F">
        <w:tc>
          <w:tcPr>
            <w:tcW w:w="9576" w:type="dxa"/>
          </w:tcPr>
          <w:p w:rsidR="0025561B" w:rsidRDefault="0025561B" w:rsidP="00A4508F">
            <w:r>
              <w:t>Current populations:                                                                                                                                          31,918</w:t>
            </w:r>
          </w:p>
        </w:tc>
      </w:tr>
      <w:tr w:rsidR="0025561B" w:rsidTr="00A4508F">
        <w:tc>
          <w:tcPr>
            <w:tcW w:w="9576" w:type="dxa"/>
          </w:tcPr>
          <w:p w:rsidR="0025561B" w:rsidRDefault="0025561B" w:rsidP="00A4508F">
            <w:r>
              <w:t>2010 population:                                                                                                                                                 31,834</w:t>
            </w:r>
          </w:p>
        </w:tc>
      </w:tr>
      <w:tr w:rsidR="0025561B" w:rsidTr="00A4508F">
        <w:tc>
          <w:tcPr>
            <w:tcW w:w="9576" w:type="dxa"/>
          </w:tcPr>
          <w:p w:rsidR="0025561B" w:rsidRDefault="0025561B" w:rsidP="00A4508F">
            <w:r>
              <w:t>Household per zip code:                                                                                                                                    16,556</w:t>
            </w:r>
          </w:p>
        </w:tc>
      </w:tr>
      <w:tr w:rsidR="0025561B" w:rsidTr="00A4508F">
        <w:tc>
          <w:tcPr>
            <w:tcW w:w="9576" w:type="dxa"/>
          </w:tcPr>
          <w:p w:rsidR="0025561B" w:rsidRDefault="0025561B" w:rsidP="00A4508F">
            <w:r>
              <w:t>Average house value:                                                                                                                                    $732,600</w:t>
            </w:r>
          </w:p>
        </w:tc>
      </w:tr>
      <w:tr w:rsidR="0025561B" w:rsidTr="00A4508F">
        <w:tc>
          <w:tcPr>
            <w:tcW w:w="9576" w:type="dxa"/>
          </w:tcPr>
          <w:p w:rsidR="0025561B" w:rsidRDefault="0025561B" w:rsidP="00A4508F">
            <w:r>
              <w:t>Avg. income per household:                                                                                                                           $94,242</w:t>
            </w:r>
          </w:p>
        </w:tc>
      </w:tr>
      <w:tr w:rsidR="0025561B" w:rsidTr="00A4508F">
        <w:tc>
          <w:tcPr>
            <w:tcW w:w="9576" w:type="dxa"/>
          </w:tcPr>
          <w:p w:rsidR="0025561B" w:rsidRDefault="0025561B" w:rsidP="00A4508F">
            <w:r>
              <w:t>Persons per household:                                                                                                                                          1.68</w:t>
            </w:r>
          </w:p>
        </w:tc>
      </w:tr>
      <w:tr w:rsidR="0025561B" w:rsidTr="00A4508F">
        <w:tc>
          <w:tcPr>
            <w:tcW w:w="9576" w:type="dxa"/>
          </w:tcPr>
          <w:p w:rsidR="0025561B" w:rsidRDefault="0025561B" w:rsidP="00A4508F">
            <w:r>
              <w:t>White population:                                                                                                                                               24,326</w:t>
            </w:r>
          </w:p>
        </w:tc>
      </w:tr>
      <w:tr w:rsidR="0025561B" w:rsidTr="00A4508F">
        <w:tc>
          <w:tcPr>
            <w:tcW w:w="9576" w:type="dxa"/>
          </w:tcPr>
          <w:p w:rsidR="0025561B" w:rsidRDefault="0025561B" w:rsidP="00A4508F">
            <w:r>
              <w:t>Black population:                                                                                                                                                  2,212</w:t>
            </w:r>
          </w:p>
        </w:tc>
      </w:tr>
      <w:tr w:rsidR="0025561B" w:rsidTr="00A4508F">
        <w:tc>
          <w:tcPr>
            <w:tcW w:w="9576" w:type="dxa"/>
          </w:tcPr>
          <w:p w:rsidR="0025561B" w:rsidRDefault="0025561B" w:rsidP="00A4508F">
            <w:r>
              <w:t>Hispanic population:                                                                                                                                             3,015</w:t>
            </w:r>
          </w:p>
        </w:tc>
      </w:tr>
      <w:tr w:rsidR="0025561B" w:rsidTr="00A4508F">
        <w:tc>
          <w:tcPr>
            <w:tcW w:w="9576" w:type="dxa"/>
          </w:tcPr>
          <w:p w:rsidR="0025561B" w:rsidRDefault="0025561B" w:rsidP="00A4508F">
            <w:r>
              <w:t>Asain population:                                                                                                                                                  5,154</w:t>
            </w:r>
          </w:p>
        </w:tc>
      </w:tr>
      <w:tr w:rsidR="0025561B" w:rsidTr="00A4508F">
        <w:tc>
          <w:tcPr>
            <w:tcW w:w="9576" w:type="dxa"/>
          </w:tcPr>
          <w:p w:rsidR="0025561B" w:rsidRDefault="0025561B" w:rsidP="00A4508F">
            <w:r>
              <w:t>American Indian population:                                                                                                                                  194</w:t>
            </w:r>
          </w:p>
        </w:tc>
      </w:tr>
      <w:tr w:rsidR="0025561B" w:rsidTr="00A4508F">
        <w:tc>
          <w:tcPr>
            <w:tcW w:w="9576" w:type="dxa"/>
          </w:tcPr>
          <w:p w:rsidR="0025561B" w:rsidRDefault="0025561B" w:rsidP="00A4508F">
            <w:r>
              <w:t>Hawaiian population:                                                                                                                                                 59</w:t>
            </w:r>
          </w:p>
        </w:tc>
      </w:tr>
      <w:tr w:rsidR="0025561B" w:rsidTr="00A4508F">
        <w:tc>
          <w:tcPr>
            <w:tcW w:w="9576" w:type="dxa"/>
          </w:tcPr>
          <w:p w:rsidR="0025561B" w:rsidRDefault="0025561B" w:rsidP="00A4508F">
            <w:r>
              <w:t>Other population:                                                                                                                                                     995</w:t>
            </w:r>
          </w:p>
        </w:tc>
      </w:tr>
      <w:tr w:rsidR="0025561B" w:rsidTr="00A4508F">
        <w:tc>
          <w:tcPr>
            <w:tcW w:w="9576" w:type="dxa"/>
          </w:tcPr>
          <w:p w:rsidR="0025561B" w:rsidRDefault="0025561B" w:rsidP="00A4508F">
            <w:r>
              <w:t>Male population:                                                                                                                                                14,755</w:t>
            </w:r>
          </w:p>
        </w:tc>
      </w:tr>
      <w:tr w:rsidR="0025561B" w:rsidTr="00A4508F">
        <w:tc>
          <w:tcPr>
            <w:tcW w:w="9576" w:type="dxa"/>
          </w:tcPr>
          <w:p w:rsidR="0025561B" w:rsidRDefault="0025561B" w:rsidP="00A4508F">
            <w:r>
              <w:t>Female population:                                                                                                                                             17,079</w:t>
            </w:r>
          </w:p>
        </w:tc>
      </w:tr>
      <w:tr w:rsidR="0025561B" w:rsidTr="00A4508F">
        <w:tc>
          <w:tcPr>
            <w:tcW w:w="9576" w:type="dxa"/>
          </w:tcPr>
          <w:p w:rsidR="0025561B" w:rsidRDefault="0025561B" w:rsidP="00A4508F">
            <w:r>
              <w:t>Median age:                                                                                                                                                 33.30 years</w:t>
            </w:r>
          </w:p>
        </w:tc>
      </w:tr>
      <w:tr w:rsidR="0025561B" w:rsidTr="00A4508F">
        <w:tc>
          <w:tcPr>
            <w:tcW w:w="9576" w:type="dxa"/>
          </w:tcPr>
          <w:p w:rsidR="0025561B" w:rsidRDefault="0025561B" w:rsidP="00A4508F">
            <w:r>
              <w:t>Male median age:                                                                                                                                       34.60 years</w:t>
            </w:r>
          </w:p>
        </w:tc>
      </w:tr>
      <w:tr w:rsidR="0025561B" w:rsidTr="00A4508F">
        <w:tc>
          <w:tcPr>
            <w:tcW w:w="9576" w:type="dxa"/>
          </w:tcPr>
          <w:p w:rsidR="0025561B" w:rsidRDefault="0025561B" w:rsidP="00A4508F">
            <w:r>
              <w:t>Female median age:                                                                                                                                   32.10 years</w:t>
            </w:r>
          </w:p>
        </w:tc>
      </w:tr>
    </w:tbl>
    <w:p w:rsidR="0025561B" w:rsidRDefault="0025561B"/>
    <w:p w:rsidR="0025561B" w:rsidRDefault="0025561B"/>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F139A9" w:rsidRDefault="00F139A9" w:rsidP="0025561B">
      <w:pPr>
        <w:pStyle w:val="NoSpacing"/>
      </w:pPr>
    </w:p>
    <w:p w:rsidR="0025561B" w:rsidRPr="00F139A9" w:rsidRDefault="0025561B" w:rsidP="0025561B">
      <w:pPr>
        <w:pStyle w:val="NoSpacing"/>
        <w:rPr>
          <w:b/>
        </w:rPr>
      </w:pPr>
      <w:r w:rsidRPr="00F139A9">
        <w:rPr>
          <w:b/>
          <w:sz w:val="28"/>
        </w:rPr>
        <w:lastRenderedPageBreak/>
        <w:t>Environmental Concerns</w:t>
      </w:r>
      <w:r w:rsidRPr="00F139A9">
        <w:rPr>
          <w:b/>
        </w:rPr>
        <w:t>:</w:t>
      </w:r>
    </w:p>
    <w:p w:rsidR="0025561B" w:rsidRDefault="0025561B" w:rsidP="0025561B">
      <w:pPr>
        <w:pStyle w:val="NoSpacing"/>
      </w:pPr>
    </w:p>
    <w:p w:rsidR="0025561B" w:rsidRDefault="0025561B" w:rsidP="0025561B">
      <w:pPr>
        <w:pStyle w:val="NoSpacing"/>
      </w:pPr>
      <w:r>
        <w:tab/>
      </w:r>
      <w:r>
        <w:tab/>
        <w:t>Quick View of Environmental Health in Gramercy Park – Murray Hill</w:t>
      </w:r>
    </w:p>
    <w:p w:rsidR="0025561B" w:rsidRDefault="0025561B" w:rsidP="0025561B">
      <w:pPr>
        <w:pStyle w:val="NoSpacing"/>
      </w:pPr>
      <w:r>
        <w:t>This report provides a summary of environmental public health indicators for your neighborhood. It describes chronic health conditions that are known to be exacerbated by environment exposures, as well as characteristics of the social environment that can be associated with environmental and health problems.</w:t>
      </w:r>
    </w:p>
    <w:p w:rsidR="0025561B" w:rsidRDefault="0025561B" w:rsidP="0025561B">
      <w:pPr>
        <w:pStyle w:val="NoSpacing"/>
      </w:pPr>
    </w:p>
    <w:p w:rsidR="0025561B" w:rsidRDefault="0025561B" w:rsidP="0025561B">
      <w:pPr>
        <w:pStyle w:val="NoSpacing"/>
      </w:pPr>
      <w:r>
        <w:t>Topic</w:t>
      </w:r>
      <w:r>
        <w:tab/>
      </w:r>
      <w:r>
        <w:tab/>
      </w:r>
      <w:r>
        <w:tab/>
        <w:t>Indicator</w:t>
      </w:r>
      <w:r>
        <w:tab/>
      </w:r>
      <w:r>
        <w:tab/>
      </w:r>
      <w:r>
        <w:tab/>
        <w:t xml:space="preserve">               Gramercy Park</w:t>
      </w:r>
      <w:r>
        <w:tab/>
        <w:t xml:space="preserve">     Manhattan     </w:t>
      </w:r>
      <w:r w:rsidRPr="001427C2">
        <w:t>NYC</w:t>
      </w:r>
    </w:p>
    <w:p w:rsidR="0025561B" w:rsidRPr="006618F0" w:rsidRDefault="0025561B" w:rsidP="0025561B">
      <w:pPr>
        <w:pStyle w:val="NoSpacing"/>
        <w:rPr>
          <w:sz w:val="24"/>
        </w:rPr>
      </w:pPr>
      <w:r w:rsidRPr="006618F0">
        <w:rPr>
          <w:sz w:val="24"/>
        </w:rPr>
        <w:tab/>
      </w:r>
      <w:r w:rsidRPr="006618F0">
        <w:rPr>
          <w:sz w:val="24"/>
        </w:rPr>
        <w:tab/>
      </w:r>
      <w:r w:rsidRPr="006618F0">
        <w:rPr>
          <w:sz w:val="24"/>
        </w:rPr>
        <w:tab/>
      </w:r>
      <w:r w:rsidRPr="006618F0">
        <w:rPr>
          <w:sz w:val="24"/>
        </w:rPr>
        <w:tab/>
      </w:r>
      <w:r w:rsidRPr="006618F0">
        <w:rPr>
          <w:sz w:val="24"/>
        </w:rPr>
        <w:tab/>
      </w:r>
      <w:r w:rsidRPr="006618F0">
        <w:rPr>
          <w:sz w:val="24"/>
        </w:rPr>
        <w:tab/>
      </w:r>
      <w:r w:rsidRPr="006618F0">
        <w:rPr>
          <w:sz w:val="24"/>
        </w:rPr>
        <w:tab/>
      </w:r>
      <w:r w:rsidRPr="006618F0">
        <w:rPr>
          <w:sz w:val="24"/>
        </w:rPr>
        <w:tab/>
        <w:t xml:space="preserve">      Murray Hill</w:t>
      </w:r>
    </w:p>
    <w:tbl>
      <w:tblPr>
        <w:tblW w:w="10215" w:type="dxa"/>
        <w:tblInd w:w="108" w:type="dxa"/>
        <w:tblBorders>
          <w:top w:val="single" w:sz="4" w:space="0" w:color="auto"/>
        </w:tblBorders>
        <w:tblLook w:val="0000"/>
      </w:tblPr>
      <w:tblGrid>
        <w:gridCol w:w="10215"/>
      </w:tblGrid>
      <w:tr w:rsidR="0025561B" w:rsidRPr="006618F0" w:rsidTr="00A4508F">
        <w:trPr>
          <w:trHeight w:val="100"/>
        </w:trPr>
        <w:tc>
          <w:tcPr>
            <w:tcW w:w="10215" w:type="dxa"/>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Social Environment       Population living  below twice the                              15.3                       35.7           39.8</w:t>
            </w: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Poverty level (%) – 2000                                  </w:t>
            </w:r>
          </w:p>
        </w:tc>
      </w:tr>
      <w:tr w:rsidR="0025561B" w:rsidRPr="006618F0" w:rsidTr="00A4508F">
        <w:trPr>
          <w:trHeight w:val="100"/>
        </w:trPr>
        <w:tc>
          <w:tcPr>
            <w:tcW w:w="10215" w:type="dxa"/>
            <w:tcBorders>
              <w:bottom w:val="single" w:sz="4" w:space="0" w:color="auto"/>
            </w:tcBorders>
          </w:tcPr>
          <w:p w:rsidR="0025561B" w:rsidRPr="006618F0" w:rsidRDefault="0025561B" w:rsidP="00A4508F">
            <w:pPr>
              <w:pStyle w:val="NoSpacing"/>
              <w:rPr>
                <w:rFonts w:ascii="Times New Roman" w:hAnsi="Times New Roman" w:cs="Times New Roman"/>
                <w:szCs w:val="20"/>
              </w:rPr>
            </w:pPr>
          </w:p>
        </w:tc>
      </w:tr>
      <w:tr w:rsidR="0025561B" w:rsidRPr="006618F0" w:rsidTr="00A4508F">
        <w:trPr>
          <w:trHeight w:val="100"/>
        </w:trPr>
        <w:tc>
          <w:tcPr>
            <w:tcW w:w="10215" w:type="dxa"/>
            <w:tcBorders>
              <w:top w:val="single" w:sz="4" w:space="0" w:color="auto"/>
              <w:bottom w:val="single" w:sz="4" w:space="0" w:color="auto"/>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Childhood Lead              Blood lead testing in 1 and 2 year                              85                           78               72</w:t>
            </w: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Poisoning                         olds (%) – 2007</w:t>
            </w:r>
          </w:p>
          <w:p w:rsidR="0025561B" w:rsidRPr="006618F0" w:rsidRDefault="0025561B" w:rsidP="00A4508F">
            <w:pPr>
              <w:pStyle w:val="NoSpacing"/>
              <w:rPr>
                <w:rFonts w:ascii="Times New Roman" w:hAnsi="Times New Roman" w:cs="Times New Roman"/>
                <w:szCs w:val="20"/>
              </w:rPr>
            </w:pPr>
          </w:p>
        </w:tc>
      </w:tr>
      <w:tr w:rsidR="0025561B" w:rsidRPr="006618F0" w:rsidTr="00A4508F">
        <w:trPr>
          <w:trHeight w:val="100"/>
        </w:trPr>
        <w:tc>
          <w:tcPr>
            <w:tcW w:w="10215" w:type="dxa"/>
            <w:tcBorders>
              <w:top w:val="single" w:sz="4" w:space="0" w:color="auto"/>
              <w:bottom w:val="single" w:sz="4" w:space="0" w:color="auto"/>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Children ages 6 months to less than                         6.9                         5.6               6.1</w:t>
            </w: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6 years with blood lead levels greater</w:t>
            </w: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than or equal to 10µg/dl (rate per 1,000</w:t>
            </w: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tested) - 2007</w:t>
            </w:r>
          </w:p>
          <w:p w:rsidR="0025561B" w:rsidRPr="006618F0" w:rsidRDefault="0025561B" w:rsidP="00A4508F">
            <w:pPr>
              <w:pStyle w:val="NoSpacing"/>
              <w:rPr>
                <w:rFonts w:ascii="Times New Roman" w:hAnsi="Times New Roman" w:cs="Times New Roman"/>
                <w:szCs w:val="20"/>
              </w:rPr>
            </w:pPr>
          </w:p>
        </w:tc>
      </w:tr>
    </w:tbl>
    <w:p w:rsidR="0025561B" w:rsidRPr="006618F0" w:rsidRDefault="0025561B" w:rsidP="0025561B">
      <w:pPr>
        <w:pStyle w:val="NoSpacing"/>
        <w:rPr>
          <w:rFonts w:ascii="Times New Roman" w:hAnsi="Times New Roman" w:cs="Times New Roman"/>
          <w:szCs w:val="20"/>
        </w:rPr>
      </w:pPr>
      <w:r w:rsidRPr="006618F0">
        <w:rPr>
          <w:rFonts w:ascii="Times New Roman" w:hAnsi="Times New Roman" w:cs="Times New Roman"/>
          <w:szCs w:val="20"/>
        </w:rPr>
        <w:t xml:space="preserve">  Chronic Health                  Asthma hospitalizations among youths and             37.9                     54.4               73.7</w:t>
      </w:r>
    </w:p>
    <w:p w:rsidR="0025561B" w:rsidRPr="006618F0" w:rsidRDefault="0025561B" w:rsidP="0025561B">
      <w:pPr>
        <w:pStyle w:val="NoSpacing"/>
        <w:rPr>
          <w:rFonts w:ascii="Times New Roman" w:hAnsi="Times New Roman" w:cs="Times New Roman"/>
          <w:szCs w:val="20"/>
        </w:rPr>
      </w:pPr>
      <w:r w:rsidRPr="006618F0">
        <w:rPr>
          <w:rFonts w:ascii="Times New Roman" w:hAnsi="Times New Roman" w:cs="Times New Roman"/>
          <w:szCs w:val="20"/>
        </w:rPr>
        <w:t xml:space="preserve">  Conditions                         adults (15 yrs and older) (age- adjusted rate</w:t>
      </w:r>
    </w:p>
    <w:p w:rsidR="0025561B" w:rsidRPr="006618F0" w:rsidRDefault="0025561B" w:rsidP="0025561B">
      <w:pPr>
        <w:pStyle w:val="NoSpacing"/>
        <w:rPr>
          <w:rFonts w:ascii="Times New Roman" w:hAnsi="Times New Roman" w:cs="Times New Roman"/>
          <w:szCs w:val="20"/>
        </w:rPr>
      </w:pPr>
      <w:r w:rsidRPr="006618F0">
        <w:rPr>
          <w:rFonts w:ascii="Times New Roman" w:hAnsi="Times New Roman" w:cs="Times New Roman"/>
          <w:szCs w:val="20"/>
        </w:rPr>
        <w:t xml:space="preserve">                                             Per 10,000) – 2010                </w:t>
      </w:r>
    </w:p>
    <w:p w:rsidR="0025561B" w:rsidRPr="006618F0" w:rsidRDefault="0025561B" w:rsidP="0025561B">
      <w:pPr>
        <w:pStyle w:val="NoSpacing"/>
        <w:rPr>
          <w:rFonts w:ascii="Times New Roman" w:hAnsi="Times New Roman" w:cs="Times New Roman"/>
          <w:szCs w:val="20"/>
        </w:rPr>
      </w:pPr>
    </w:p>
    <w:tbl>
      <w:tblPr>
        <w:tblW w:w="10200" w:type="dxa"/>
        <w:tblInd w:w="168" w:type="dxa"/>
        <w:tblBorders>
          <w:top w:val="single" w:sz="4" w:space="0" w:color="auto"/>
        </w:tblBorders>
        <w:tblLook w:val="0000"/>
      </w:tblPr>
      <w:tblGrid>
        <w:gridCol w:w="10200"/>
      </w:tblGrid>
      <w:tr w:rsidR="0025561B" w:rsidRPr="006618F0" w:rsidTr="00A4508F">
        <w:trPr>
          <w:trHeight w:val="100"/>
        </w:trPr>
        <w:tc>
          <w:tcPr>
            <w:tcW w:w="10200" w:type="dxa"/>
            <w:tcBorders>
              <w:top w:val="single" w:sz="4" w:space="0" w:color="auto"/>
              <w:bottom w:val="single" w:sz="4" w:space="0" w:color="auto"/>
            </w:tcBorders>
          </w:tcPr>
          <w:p w:rsidR="0025561B" w:rsidRPr="006618F0" w:rsidRDefault="0025561B" w:rsidP="00A4508F">
            <w:pPr>
              <w:pStyle w:val="NoSpacing"/>
              <w:tabs>
                <w:tab w:val="left" w:pos="2055"/>
              </w:tabs>
              <w:rPr>
                <w:rFonts w:ascii="Times New Roman" w:hAnsi="Times New Roman" w:cs="Times New Roman"/>
                <w:szCs w:val="20"/>
              </w:rPr>
            </w:pPr>
            <w:r w:rsidRPr="006618F0">
              <w:rPr>
                <w:rFonts w:ascii="Times New Roman" w:hAnsi="Times New Roman" w:cs="Times New Roman"/>
                <w:szCs w:val="20"/>
              </w:rPr>
              <w:tab/>
              <w:t>Asthma hospitalizations among youths and                8.8                      20.4            24.9</w:t>
            </w:r>
          </w:p>
          <w:p w:rsidR="0025561B" w:rsidRPr="006618F0" w:rsidRDefault="0025561B" w:rsidP="00A4508F">
            <w:pPr>
              <w:pStyle w:val="NoSpacing"/>
              <w:tabs>
                <w:tab w:val="left" w:pos="2055"/>
              </w:tabs>
              <w:rPr>
                <w:rFonts w:ascii="Times New Roman" w:hAnsi="Times New Roman" w:cs="Times New Roman"/>
                <w:szCs w:val="20"/>
              </w:rPr>
            </w:pPr>
            <w:r w:rsidRPr="006618F0">
              <w:rPr>
                <w:rFonts w:ascii="Times New Roman" w:hAnsi="Times New Roman" w:cs="Times New Roman"/>
                <w:szCs w:val="20"/>
              </w:rPr>
              <w:t xml:space="preserve">                                           (age- Adjusted rate per 10,000) – 2010</w:t>
            </w:r>
          </w:p>
          <w:p w:rsidR="0025561B" w:rsidRPr="006618F0" w:rsidRDefault="0025561B" w:rsidP="00A4508F">
            <w:pPr>
              <w:pStyle w:val="NoSpacing"/>
              <w:tabs>
                <w:tab w:val="left" w:pos="2055"/>
              </w:tabs>
              <w:rPr>
                <w:rFonts w:ascii="Times New Roman" w:hAnsi="Times New Roman" w:cs="Times New Roman"/>
                <w:szCs w:val="20"/>
              </w:rPr>
            </w:pPr>
          </w:p>
        </w:tc>
      </w:tr>
    </w:tbl>
    <w:p w:rsidR="0025561B" w:rsidRPr="006618F0" w:rsidRDefault="0025561B" w:rsidP="0025561B">
      <w:pPr>
        <w:pStyle w:val="NoSpacing"/>
        <w:rPr>
          <w:rFonts w:ascii="Times New Roman" w:hAnsi="Times New Roman" w:cs="Times New Roman"/>
          <w:szCs w:val="20"/>
        </w:rPr>
      </w:pPr>
      <w:r w:rsidRPr="006618F0">
        <w:rPr>
          <w:rFonts w:ascii="Times New Roman" w:hAnsi="Times New Roman" w:cs="Times New Roman"/>
          <w:szCs w:val="20"/>
        </w:rPr>
        <w:t xml:space="preserve">                                            Heart attack Hospitalizations (age- adjusted               44                       54.1                 69</w:t>
      </w:r>
    </w:p>
    <w:p w:rsidR="0025561B" w:rsidRPr="006618F0" w:rsidRDefault="0025561B" w:rsidP="0025561B">
      <w:pPr>
        <w:pStyle w:val="NoSpacing"/>
        <w:rPr>
          <w:rFonts w:ascii="Times New Roman" w:hAnsi="Times New Roman" w:cs="Times New Roman"/>
          <w:szCs w:val="20"/>
        </w:rPr>
      </w:pPr>
      <w:r w:rsidRPr="006618F0">
        <w:rPr>
          <w:rFonts w:ascii="Times New Roman" w:hAnsi="Times New Roman" w:cs="Times New Roman"/>
          <w:szCs w:val="20"/>
        </w:rPr>
        <w:t xml:space="preserve">                                            Rate adults – 65 Yrs and older) (per 10,000</w:t>
      </w:r>
    </w:p>
    <w:p w:rsidR="0025561B" w:rsidRPr="006618F0" w:rsidRDefault="0025561B" w:rsidP="0025561B">
      <w:pPr>
        <w:pStyle w:val="NoSpacing"/>
        <w:rPr>
          <w:rFonts w:ascii="Times New Roman" w:hAnsi="Times New Roman" w:cs="Times New Roman"/>
          <w:szCs w:val="20"/>
        </w:rPr>
      </w:pPr>
      <w:r w:rsidRPr="006618F0">
        <w:rPr>
          <w:rFonts w:ascii="Times New Roman" w:hAnsi="Times New Roman" w:cs="Times New Roman"/>
          <w:szCs w:val="20"/>
        </w:rPr>
        <w:t xml:space="preserve">                                            Residents) – 2009</w:t>
      </w:r>
    </w:p>
    <w:tbl>
      <w:tblPr>
        <w:tblW w:w="10200" w:type="dxa"/>
        <w:tblInd w:w="138" w:type="dxa"/>
        <w:tblBorders>
          <w:top w:val="single" w:sz="4" w:space="0" w:color="auto"/>
        </w:tblBorders>
        <w:tblLook w:val="0000"/>
      </w:tblPr>
      <w:tblGrid>
        <w:gridCol w:w="10200"/>
      </w:tblGrid>
      <w:tr w:rsidR="0025561B" w:rsidRPr="006618F0" w:rsidTr="00A4508F">
        <w:trPr>
          <w:trHeight w:val="100"/>
        </w:trPr>
        <w:tc>
          <w:tcPr>
            <w:tcW w:w="10200" w:type="dxa"/>
            <w:tcBorders>
              <w:bottom w:val="single" w:sz="4" w:space="0" w:color="auto"/>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Pests &amp; pesticide              Cockroaches in home (% of homes) –                       10.6                      20.6                24</w:t>
            </w: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2011</w:t>
            </w:r>
          </w:p>
          <w:p w:rsidR="0025561B" w:rsidRPr="006618F0" w:rsidRDefault="0025561B" w:rsidP="00A4508F">
            <w:pPr>
              <w:pStyle w:val="NoSpacing"/>
              <w:rPr>
                <w:rFonts w:ascii="Times New Roman" w:hAnsi="Times New Roman" w:cs="Times New Roman"/>
                <w:szCs w:val="20"/>
              </w:rPr>
            </w:pPr>
          </w:p>
        </w:tc>
      </w:tr>
    </w:tbl>
    <w:p w:rsidR="0025561B" w:rsidRPr="006618F0" w:rsidRDefault="0025561B" w:rsidP="0025561B">
      <w:pPr>
        <w:pStyle w:val="NoSpacing"/>
        <w:rPr>
          <w:rFonts w:ascii="Times New Roman" w:hAnsi="Times New Roman" w:cs="Times New Roman"/>
          <w:szCs w:val="20"/>
        </w:rPr>
      </w:pPr>
      <w:r w:rsidRPr="006618F0">
        <w:rPr>
          <w:rFonts w:ascii="Times New Roman" w:hAnsi="Times New Roman" w:cs="Times New Roman"/>
          <w:szCs w:val="20"/>
        </w:rPr>
        <w:tab/>
      </w:r>
      <w:r w:rsidRPr="006618F0">
        <w:rPr>
          <w:rFonts w:ascii="Times New Roman" w:hAnsi="Times New Roman" w:cs="Times New Roman"/>
          <w:szCs w:val="20"/>
        </w:rPr>
        <w:tab/>
        <w:t xml:space="preserve">               Mice or Rats in the Building (% of homes)</w:t>
      </w:r>
      <w:r w:rsidRPr="006618F0">
        <w:rPr>
          <w:rFonts w:ascii="Times New Roman" w:hAnsi="Times New Roman" w:cs="Times New Roman"/>
          <w:szCs w:val="20"/>
        </w:rPr>
        <w:tab/>
        <w:t xml:space="preserve">            13.7                       21.1              22.8</w:t>
      </w:r>
    </w:p>
    <w:p w:rsidR="0025561B" w:rsidRPr="006618F0" w:rsidRDefault="0025561B" w:rsidP="0025561B">
      <w:pPr>
        <w:pStyle w:val="NoSpacing"/>
        <w:rPr>
          <w:rFonts w:ascii="Times New Roman" w:hAnsi="Times New Roman" w:cs="Times New Roman"/>
          <w:szCs w:val="20"/>
        </w:rPr>
      </w:pPr>
    </w:p>
    <w:tbl>
      <w:tblPr>
        <w:tblW w:w="10170" w:type="dxa"/>
        <w:tblInd w:w="138" w:type="dxa"/>
        <w:tblBorders>
          <w:top w:val="single" w:sz="4" w:space="0" w:color="auto"/>
        </w:tblBorders>
        <w:tblLook w:val="0000"/>
      </w:tblPr>
      <w:tblGrid>
        <w:gridCol w:w="10170"/>
      </w:tblGrid>
      <w:tr w:rsidR="0025561B" w:rsidRPr="006618F0" w:rsidTr="00A4508F">
        <w:trPr>
          <w:trHeight w:val="100"/>
        </w:trPr>
        <w:tc>
          <w:tcPr>
            <w:tcW w:w="10170" w:type="dxa"/>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Personal use of Pesticide sprays, bombs                  13.4                        31.6              34.6</w:t>
            </w: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Or foggers (% of homes) – 2003                            </w:t>
            </w:r>
          </w:p>
        </w:tc>
      </w:tr>
      <w:tr w:rsidR="0025561B" w:rsidRPr="006618F0" w:rsidTr="00A4508F">
        <w:trPr>
          <w:trHeight w:val="105"/>
        </w:trPr>
        <w:tc>
          <w:tcPr>
            <w:tcW w:w="10170" w:type="dxa"/>
            <w:tcBorders>
              <w:bottom w:val="single" w:sz="4" w:space="0" w:color="auto"/>
            </w:tcBorders>
          </w:tcPr>
          <w:p w:rsidR="0025561B" w:rsidRPr="006618F0" w:rsidRDefault="0025561B" w:rsidP="00A4508F">
            <w:pPr>
              <w:pStyle w:val="NoSpacing"/>
              <w:rPr>
                <w:rFonts w:ascii="Times New Roman" w:hAnsi="Times New Roman" w:cs="Times New Roman"/>
                <w:szCs w:val="20"/>
              </w:rPr>
            </w:pPr>
          </w:p>
        </w:tc>
      </w:tr>
      <w:tr w:rsidR="0025561B" w:rsidRPr="006618F0" w:rsidTr="00A4508F">
        <w:trPr>
          <w:trHeight w:val="150"/>
        </w:trPr>
        <w:tc>
          <w:tcPr>
            <w:tcW w:w="10170" w:type="dxa"/>
            <w:tcBorders>
              <w:top w:val="single" w:sz="4" w:space="0" w:color="auto"/>
              <w:bottom w:val="single" w:sz="4" w:space="0" w:color="auto"/>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Carbon Monoxide          Number of carbon monoxide incidents                          2                           25                135</w:t>
            </w: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Exposure                          where there was no alarm at the scene</w:t>
            </w: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2010</w:t>
            </w:r>
          </w:p>
        </w:tc>
      </w:tr>
      <w:tr w:rsidR="0025561B" w:rsidRPr="006618F0" w:rsidTr="00A4508F">
        <w:trPr>
          <w:trHeight w:val="100"/>
        </w:trPr>
        <w:tc>
          <w:tcPr>
            <w:tcW w:w="10170" w:type="dxa"/>
            <w:tcBorders>
              <w:top w:val="single" w:sz="4" w:space="0" w:color="auto"/>
              <w:bottom w:val="single" w:sz="4" w:space="0" w:color="auto"/>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Home Environment        adults exposed to second- hand smoke                         2.1                         3.4                 5.1</w:t>
            </w: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lastRenderedPageBreak/>
              <w:t xml:space="preserve">                                           In the home (%) – 2010</w:t>
            </w:r>
          </w:p>
        </w:tc>
      </w:tr>
    </w:tbl>
    <w:p w:rsidR="0025561B" w:rsidRPr="006618F0" w:rsidRDefault="0025561B" w:rsidP="0025561B">
      <w:pPr>
        <w:pStyle w:val="NoSpacing"/>
        <w:rPr>
          <w:rFonts w:ascii="Times New Roman" w:hAnsi="Times New Roman" w:cs="Times New Roman"/>
          <w:szCs w:val="20"/>
        </w:rPr>
      </w:pPr>
      <w:r w:rsidRPr="006618F0">
        <w:rPr>
          <w:rFonts w:ascii="Times New Roman" w:hAnsi="Times New Roman" w:cs="Times New Roman"/>
          <w:szCs w:val="20"/>
        </w:rPr>
        <w:lastRenderedPageBreak/>
        <w:t xml:space="preserve">                                              Homes with cracks or holes (% of homes)                 8.3                       16.2              15.7</w:t>
      </w:r>
    </w:p>
    <w:p w:rsidR="0025561B" w:rsidRPr="006618F0" w:rsidRDefault="0025561B" w:rsidP="0025561B">
      <w:pPr>
        <w:pStyle w:val="NoSpacing"/>
        <w:rPr>
          <w:rFonts w:ascii="Times New Roman" w:hAnsi="Times New Roman" w:cs="Times New Roman"/>
          <w:szCs w:val="20"/>
        </w:rPr>
      </w:pPr>
      <w:r w:rsidRPr="006618F0">
        <w:rPr>
          <w:rFonts w:ascii="Times New Roman" w:hAnsi="Times New Roman" w:cs="Times New Roman"/>
          <w:szCs w:val="20"/>
        </w:rPr>
        <w:t xml:space="preserve">                                              2011</w:t>
      </w:r>
    </w:p>
    <w:tbl>
      <w:tblPr>
        <w:tblW w:w="10125" w:type="dxa"/>
        <w:tblInd w:w="153" w:type="dxa"/>
        <w:tblBorders>
          <w:top w:val="single" w:sz="4" w:space="0" w:color="auto"/>
        </w:tblBorders>
        <w:tblLook w:val="0000"/>
      </w:tblPr>
      <w:tblGrid>
        <w:gridCol w:w="10125"/>
      </w:tblGrid>
      <w:tr w:rsidR="0025561B" w:rsidRPr="006618F0" w:rsidTr="00A4508F">
        <w:trPr>
          <w:trHeight w:val="100"/>
        </w:trPr>
        <w:tc>
          <w:tcPr>
            <w:tcW w:w="10125" w:type="dxa"/>
            <w:tcBorders>
              <w:top w:val="single" w:sz="4" w:space="0" w:color="auto"/>
              <w:bottom w:val="single" w:sz="4" w:space="0" w:color="auto"/>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Homes with leaks from outside (% of                        14.1                     21.8               20.6</w:t>
            </w: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Homes) - 2011</w:t>
            </w:r>
          </w:p>
        </w:tc>
      </w:tr>
    </w:tbl>
    <w:p w:rsidR="0025561B" w:rsidRPr="006618F0" w:rsidRDefault="0025561B" w:rsidP="0025561B">
      <w:pPr>
        <w:pStyle w:val="NoSpacing"/>
        <w:rPr>
          <w:rFonts w:ascii="Times New Roman" w:hAnsi="Times New Roman" w:cs="Times New Roman"/>
          <w:szCs w:val="20"/>
        </w:rPr>
      </w:pPr>
      <w:r w:rsidRPr="006618F0">
        <w:rPr>
          <w:sz w:val="24"/>
        </w:rPr>
        <w:t xml:space="preserve">                                              </w:t>
      </w:r>
      <w:r w:rsidRPr="006618F0">
        <w:rPr>
          <w:rFonts w:ascii="Times New Roman" w:hAnsi="Times New Roman" w:cs="Times New Roman"/>
          <w:szCs w:val="20"/>
        </w:rPr>
        <w:t>Households rating neighborhood                                94.2                     80.1              75.2</w:t>
      </w:r>
    </w:p>
    <w:p w:rsidR="0025561B" w:rsidRPr="006618F0" w:rsidRDefault="0025561B" w:rsidP="0025561B">
      <w:pPr>
        <w:pStyle w:val="NoSpacing"/>
        <w:rPr>
          <w:rFonts w:ascii="Times New Roman" w:hAnsi="Times New Roman" w:cs="Times New Roman"/>
          <w:szCs w:val="20"/>
        </w:rPr>
      </w:pPr>
      <w:r w:rsidRPr="006618F0">
        <w:rPr>
          <w:rFonts w:ascii="Times New Roman" w:hAnsi="Times New Roman" w:cs="Times New Roman"/>
          <w:szCs w:val="20"/>
        </w:rPr>
        <w:t xml:space="preserve">                                              Structures good or excellent (% </w:t>
      </w:r>
    </w:p>
    <w:p w:rsidR="0025561B" w:rsidRPr="006618F0" w:rsidRDefault="0025561B" w:rsidP="0025561B">
      <w:pPr>
        <w:pStyle w:val="NoSpacing"/>
        <w:rPr>
          <w:rFonts w:ascii="Times New Roman" w:hAnsi="Times New Roman" w:cs="Times New Roman"/>
          <w:szCs w:val="20"/>
        </w:rPr>
      </w:pPr>
      <w:r w:rsidRPr="006618F0">
        <w:rPr>
          <w:rFonts w:ascii="Times New Roman" w:hAnsi="Times New Roman" w:cs="Times New Roman"/>
          <w:szCs w:val="20"/>
        </w:rPr>
        <w:t xml:space="preserve">                                              of homes) – 2011</w:t>
      </w:r>
    </w:p>
    <w:p w:rsidR="0025561B" w:rsidRPr="006618F0" w:rsidRDefault="0025561B" w:rsidP="0025561B">
      <w:pPr>
        <w:pStyle w:val="NoSpacing"/>
        <w:rPr>
          <w:rFonts w:ascii="Times New Roman" w:hAnsi="Times New Roman" w:cs="Times New Roman"/>
          <w:szCs w:val="20"/>
        </w:rPr>
      </w:pPr>
    </w:p>
    <w:p w:rsidR="0025561B" w:rsidRPr="006618F0" w:rsidRDefault="0025561B" w:rsidP="0025561B">
      <w:pPr>
        <w:pStyle w:val="NoSpacing"/>
        <w:rPr>
          <w:rFonts w:ascii="Times New Roman" w:hAnsi="Times New Roman" w:cs="Times New Roman"/>
          <w:szCs w:val="20"/>
        </w:rPr>
      </w:pPr>
    </w:p>
    <w:p w:rsidR="0025561B" w:rsidRPr="006618F0" w:rsidRDefault="0025561B" w:rsidP="0025561B">
      <w:pPr>
        <w:pStyle w:val="NoSpacing"/>
        <w:rPr>
          <w:rFonts w:ascii="Times New Roman" w:hAnsi="Times New Roman" w:cs="Times New Roman"/>
          <w:szCs w:val="20"/>
        </w:rPr>
      </w:pPr>
    </w:p>
    <w:p w:rsidR="0025561B" w:rsidRPr="006618F0" w:rsidRDefault="0025561B" w:rsidP="0025561B">
      <w:pPr>
        <w:pStyle w:val="NoSpacing"/>
        <w:rPr>
          <w:rFonts w:ascii="Times New Roman" w:hAnsi="Times New Roman" w:cs="Times New Roman"/>
          <w:b/>
          <w:szCs w:val="20"/>
        </w:rPr>
      </w:pPr>
      <w:r w:rsidRPr="006618F0">
        <w:rPr>
          <w:rFonts w:ascii="Times New Roman" w:hAnsi="Times New Roman" w:cs="Times New Roman"/>
          <w:szCs w:val="20"/>
        </w:rPr>
        <w:tab/>
        <w:t xml:space="preserve">       </w:t>
      </w:r>
      <w:r w:rsidRPr="006618F0">
        <w:rPr>
          <w:rFonts w:ascii="Times New Roman" w:hAnsi="Times New Roman" w:cs="Times New Roman"/>
          <w:b/>
          <w:sz w:val="24"/>
          <w:szCs w:val="20"/>
        </w:rPr>
        <w:t>Quick View of Housing and Health in Gramercy park – Murray Hill</w:t>
      </w:r>
    </w:p>
    <w:p w:rsidR="0025561B" w:rsidRPr="006618F0" w:rsidRDefault="0025561B" w:rsidP="0025561B">
      <w:pPr>
        <w:pStyle w:val="NoSpacing"/>
        <w:rPr>
          <w:rFonts w:ascii="Times New Roman" w:hAnsi="Times New Roman" w:cs="Times New Roman"/>
          <w:szCs w:val="20"/>
        </w:rPr>
      </w:pPr>
    </w:p>
    <w:p w:rsidR="0025561B" w:rsidRPr="006618F0" w:rsidRDefault="0025561B" w:rsidP="0025561B">
      <w:pPr>
        <w:pStyle w:val="NoSpacing"/>
        <w:rPr>
          <w:rFonts w:ascii="Times New Roman" w:hAnsi="Times New Roman" w:cs="Times New Roman"/>
          <w:sz w:val="24"/>
          <w:szCs w:val="20"/>
        </w:rPr>
      </w:pPr>
      <w:r w:rsidRPr="006618F0">
        <w:rPr>
          <w:rFonts w:ascii="Times New Roman" w:hAnsi="Times New Roman" w:cs="Times New Roman"/>
          <w:sz w:val="24"/>
          <w:szCs w:val="20"/>
        </w:rPr>
        <w:t xml:space="preserve">This report provides a summary of housing and related health indicators for your neighborhood. It describes health conditions that can be impacted by housing conditions, as well as related characteristics of the social environment. </w:t>
      </w:r>
      <w:bookmarkStart w:id="0" w:name="_GoBack"/>
      <w:bookmarkEnd w:id="0"/>
    </w:p>
    <w:p w:rsidR="0025561B" w:rsidRPr="006618F0" w:rsidRDefault="0025561B" w:rsidP="0025561B">
      <w:pPr>
        <w:pStyle w:val="NoSpacing"/>
        <w:rPr>
          <w:rFonts w:ascii="Times New Roman" w:hAnsi="Times New Roman" w:cs="Times New Roman"/>
          <w:szCs w:val="20"/>
        </w:rPr>
      </w:pPr>
    </w:p>
    <w:p w:rsidR="0025561B" w:rsidRPr="006618F0" w:rsidRDefault="0025561B" w:rsidP="0025561B">
      <w:pPr>
        <w:pStyle w:val="NoSpacing"/>
        <w:rPr>
          <w:sz w:val="24"/>
        </w:rPr>
      </w:pPr>
    </w:p>
    <w:p w:rsidR="0025561B" w:rsidRPr="006618F0" w:rsidRDefault="0025561B" w:rsidP="0025561B">
      <w:pPr>
        <w:pStyle w:val="NoSpacing"/>
        <w:rPr>
          <w:rFonts w:ascii="Times New Roman" w:hAnsi="Times New Roman" w:cs="Times New Roman"/>
          <w:szCs w:val="20"/>
        </w:rPr>
      </w:pPr>
      <w:r w:rsidRPr="006618F0">
        <w:rPr>
          <w:rFonts w:ascii="Times New Roman" w:hAnsi="Times New Roman" w:cs="Times New Roman"/>
          <w:szCs w:val="20"/>
        </w:rPr>
        <w:t>TOPIC                          INDICATOR                         GRAMERCY               MANHATTAN                          NYC</w:t>
      </w:r>
    </w:p>
    <w:p w:rsidR="0025561B" w:rsidRPr="006618F0" w:rsidRDefault="0025561B" w:rsidP="0025561B">
      <w:pPr>
        <w:pStyle w:val="NoSpacing"/>
        <w:rPr>
          <w:rFonts w:ascii="Times New Roman" w:hAnsi="Times New Roman" w:cs="Times New Roman"/>
          <w:szCs w:val="20"/>
        </w:rPr>
      </w:pPr>
      <w:r w:rsidRPr="006618F0">
        <w:rPr>
          <w:rFonts w:ascii="Times New Roman" w:hAnsi="Times New Roman" w:cs="Times New Roman"/>
          <w:szCs w:val="20"/>
        </w:rPr>
        <w:t xml:space="preserve">                                                                                     MURRAY HILL       </w:t>
      </w:r>
    </w:p>
    <w:tbl>
      <w:tblPr>
        <w:tblStyle w:val="TableGrid"/>
        <w:tblW w:w="0" w:type="auto"/>
        <w:tblLook w:val="04A0"/>
      </w:tblPr>
      <w:tblGrid>
        <w:gridCol w:w="1548"/>
        <w:gridCol w:w="2790"/>
        <w:gridCol w:w="1407"/>
        <w:gridCol w:w="1915"/>
        <w:gridCol w:w="1916"/>
      </w:tblGrid>
      <w:tr w:rsidR="0025561B" w:rsidRPr="006618F0" w:rsidTr="00A4508F">
        <w:tc>
          <w:tcPr>
            <w:tcW w:w="1548"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maintenance</w:t>
            </w:r>
          </w:p>
        </w:tc>
        <w:tc>
          <w:tcPr>
            <w:tcW w:w="2790"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Cracks or holes in the holes in the home (Percent of Households) - 2011</w:t>
            </w:r>
          </w:p>
        </w:tc>
        <w:tc>
          <w:tcPr>
            <w:tcW w:w="1407"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8.3</w:t>
            </w:r>
          </w:p>
        </w:tc>
        <w:tc>
          <w:tcPr>
            <w:tcW w:w="1915" w:type="dxa"/>
            <w:tcBorders>
              <w:left w:val="nil"/>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16.2</w:t>
            </w:r>
          </w:p>
        </w:tc>
        <w:tc>
          <w:tcPr>
            <w:tcW w:w="1916"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15.7</w:t>
            </w:r>
          </w:p>
        </w:tc>
      </w:tr>
      <w:tr w:rsidR="0025561B" w:rsidRPr="006618F0" w:rsidTr="00A4508F">
        <w:tc>
          <w:tcPr>
            <w:tcW w:w="1548"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tc>
        <w:tc>
          <w:tcPr>
            <w:tcW w:w="2790" w:type="dxa"/>
            <w:tcBorders>
              <w:left w:val="nil"/>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Leaks in the home ( Percent of hoseholds) - 2011</w:t>
            </w:r>
          </w:p>
        </w:tc>
        <w:tc>
          <w:tcPr>
            <w:tcW w:w="1407"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14.1</w:t>
            </w:r>
          </w:p>
        </w:tc>
        <w:tc>
          <w:tcPr>
            <w:tcW w:w="1915" w:type="dxa"/>
            <w:tcBorders>
              <w:left w:val="nil"/>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21.8</w:t>
            </w:r>
          </w:p>
        </w:tc>
        <w:tc>
          <w:tcPr>
            <w:tcW w:w="1916"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20.6</w:t>
            </w:r>
          </w:p>
        </w:tc>
      </w:tr>
      <w:tr w:rsidR="0025561B" w:rsidRPr="006618F0" w:rsidTr="00A4508F">
        <w:tc>
          <w:tcPr>
            <w:tcW w:w="1548"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tc>
        <w:tc>
          <w:tcPr>
            <w:tcW w:w="2790" w:type="dxa"/>
            <w:tcBorders>
              <w:left w:val="nil"/>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Boarded up buildings in the neighborhood (percent of Households) - 2011 </w:t>
            </w:r>
          </w:p>
        </w:tc>
        <w:tc>
          <w:tcPr>
            <w:tcW w:w="1407"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2.7</w:t>
            </w:r>
          </w:p>
        </w:tc>
        <w:tc>
          <w:tcPr>
            <w:tcW w:w="1915" w:type="dxa"/>
            <w:tcBorders>
              <w:left w:val="nil"/>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4.9</w:t>
            </w:r>
          </w:p>
        </w:tc>
        <w:tc>
          <w:tcPr>
            <w:tcW w:w="1916"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w:t>
            </w:r>
          </w:p>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20.6</w:t>
            </w:r>
          </w:p>
        </w:tc>
      </w:tr>
      <w:tr w:rsidR="0025561B" w:rsidRPr="006618F0" w:rsidTr="00A4508F">
        <w:tc>
          <w:tcPr>
            <w:tcW w:w="1548"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tc>
        <w:tc>
          <w:tcPr>
            <w:tcW w:w="2790"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Maintenance deficiencies (3 or more) in the Home 9 Percent of Households) </w:t>
            </w:r>
          </w:p>
        </w:tc>
        <w:tc>
          <w:tcPr>
            <w:tcW w:w="1407" w:type="dxa"/>
            <w:tcBorders>
              <w:left w:val="nil"/>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7.1</w:t>
            </w:r>
          </w:p>
        </w:tc>
        <w:tc>
          <w:tcPr>
            <w:tcW w:w="1915"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w:t>
            </w:r>
          </w:p>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14.2</w:t>
            </w:r>
          </w:p>
        </w:tc>
        <w:tc>
          <w:tcPr>
            <w:tcW w:w="1916"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15</w:t>
            </w:r>
          </w:p>
        </w:tc>
      </w:tr>
      <w:tr w:rsidR="0025561B" w:rsidRPr="006618F0" w:rsidTr="00A4508F">
        <w:tc>
          <w:tcPr>
            <w:tcW w:w="1548"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Indoor </w:t>
            </w:r>
          </w:p>
        </w:tc>
        <w:tc>
          <w:tcPr>
            <w:tcW w:w="2790" w:type="dxa"/>
            <w:tcBorders>
              <w:left w:val="nil"/>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Mice or rats in the building (by household) (Percent of households) - 2011</w:t>
            </w:r>
          </w:p>
        </w:tc>
        <w:tc>
          <w:tcPr>
            <w:tcW w:w="1407"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13.1</w:t>
            </w:r>
          </w:p>
        </w:tc>
        <w:tc>
          <w:tcPr>
            <w:tcW w:w="1915" w:type="dxa"/>
            <w:tcBorders>
              <w:left w:val="nil"/>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21.1</w:t>
            </w:r>
          </w:p>
        </w:tc>
        <w:tc>
          <w:tcPr>
            <w:tcW w:w="1916"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22.8</w:t>
            </w:r>
          </w:p>
        </w:tc>
      </w:tr>
      <w:tr w:rsidR="0025561B" w:rsidRPr="006618F0" w:rsidTr="00A4508F">
        <w:tc>
          <w:tcPr>
            <w:tcW w:w="1548"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tc>
        <w:tc>
          <w:tcPr>
            <w:tcW w:w="2790" w:type="dxa"/>
            <w:tcBorders>
              <w:left w:val="nil"/>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Cockroaches in the home (by household) (Percent of households) - 2011 </w:t>
            </w:r>
          </w:p>
        </w:tc>
        <w:tc>
          <w:tcPr>
            <w:tcW w:w="1407"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10.6</w:t>
            </w:r>
          </w:p>
        </w:tc>
        <w:tc>
          <w:tcPr>
            <w:tcW w:w="1915" w:type="dxa"/>
            <w:tcBorders>
              <w:left w:val="nil"/>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20.6</w:t>
            </w:r>
          </w:p>
        </w:tc>
        <w:tc>
          <w:tcPr>
            <w:tcW w:w="1916"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24</w:t>
            </w:r>
          </w:p>
        </w:tc>
      </w:tr>
      <w:tr w:rsidR="0025561B" w:rsidRPr="006618F0" w:rsidTr="00A4508F">
        <w:tc>
          <w:tcPr>
            <w:tcW w:w="1548"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tc>
        <w:tc>
          <w:tcPr>
            <w:tcW w:w="2790" w:type="dxa"/>
            <w:tcBorders>
              <w:left w:val="nil"/>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Secondhand Smoke at home (Percent) - 2010</w:t>
            </w:r>
          </w:p>
        </w:tc>
        <w:tc>
          <w:tcPr>
            <w:tcW w:w="1407"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2.1</w:t>
            </w:r>
          </w:p>
        </w:tc>
        <w:tc>
          <w:tcPr>
            <w:tcW w:w="1915" w:type="dxa"/>
            <w:tcBorders>
              <w:left w:val="nil"/>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3.4</w:t>
            </w:r>
          </w:p>
        </w:tc>
        <w:tc>
          <w:tcPr>
            <w:tcW w:w="1916"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5.1</w:t>
            </w:r>
          </w:p>
        </w:tc>
      </w:tr>
      <w:tr w:rsidR="0025561B" w:rsidRPr="006618F0" w:rsidTr="00A4508F">
        <w:tc>
          <w:tcPr>
            <w:tcW w:w="1548"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Housing Related  Health </w:t>
            </w:r>
          </w:p>
        </w:tc>
        <w:tc>
          <w:tcPr>
            <w:tcW w:w="2790" w:type="dxa"/>
            <w:tcBorders>
              <w:left w:val="nil"/>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Asthma ED Visits (children 5 to 14 Yrs Old) (Rate) (per 10,000residents) - 2010</w:t>
            </w:r>
          </w:p>
        </w:tc>
        <w:tc>
          <w:tcPr>
            <w:tcW w:w="1407"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114.2</w:t>
            </w:r>
          </w:p>
        </w:tc>
        <w:tc>
          <w:tcPr>
            <w:tcW w:w="1915" w:type="dxa"/>
            <w:tcBorders>
              <w:left w:val="nil"/>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275.9</w:t>
            </w:r>
          </w:p>
        </w:tc>
        <w:tc>
          <w:tcPr>
            <w:tcW w:w="1916"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208</w:t>
            </w:r>
          </w:p>
        </w:tc>
      </w:tr>
      <w:tr w:rsidR="0025561B" w:rsidRPr="006618F0" w:rsidTr="00A4508F">
        <w:tc>
          <w:tcPr>
            <w:tcW w:w="1548"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tc>
        <w:tc>
          <w:tcPr>
            <w:tcW w:w="2790" w:type="dxa"/>
            <w:tcBorders>
              <w:left w:val="nil"/>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Elevated (&gt;=10µg/dl) Blood Lead Levels (Rate) (per 1,000 tested) - 2007</w:t>
            </w:r>
          </w:p>
        </w:tc>
        <w:tc>
          <w:tcPr>
            <w:tcW w:w="1407"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6.9</w:t>
            </w:r>
          </w:p>
        </w:tc>
        <w:tc>
          <w:tcPr>
            <w:tcW w:w="1915" w:type="dxa"/>
            <w:tcBorders>
              <w:left w:val="nil"/>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5.6</w:t>
            </w:r>
          </w:p>
        </w:tc>
        <w:tc>
          <w:tcPr>
            <w:tcW w:w="1916"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6.1</w:t>
            </w:r>
          </w:p>
        </w:tc>
      </w:tr>
      <w:tr w:rsidR="0025561B" w:rsidRPr="006618F0" w:rsidTr="00A4508F">
        <w:tc>
          <w:tcPr>
            <w:tcW w:w="1548"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tc>
        <w:tc>
          <w:tcPr>
            <w:tcW w:w="2790" w:type="dxa"/>
            <w:tcBorders>
              <w:left w:val="nil"/>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Carbon Monoxide </w:t>
            </w:r>
            <w:r w:rsidRPr="006618F0">
              <w:rPr>
                <w:rFonts w:ascii="Times New Roman" w:hAnsi="Times New Roman" w:cs="Times New Roman"/>
                <w:szCs w:val="20"/>
              </w:rPr>
              <w:lastRenderedPageBreak/>
              <w:t>Exposures (rate) (per 100,000 residents) - 2009</w:t>
            </w:r>
          </w:p>
        </w:tc>
        <w:tc>
          <w:tcPr>
            <w:tcW w:w="1407"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lastRenderedPageBreak/>
              <w:t xml:space="preserve">           12.9</w:t>
            </w:r>
          </w:p>
        </w:tc>
        <w:tc>
          <w:tcPr>
            <w:tcW w:w="1915" w:type="dxa"/>
            <w:tcBorders>
              <w:left w:val="nil"/>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lastRenderedPageBreak/>
              <w:t xml:space="preserve">             14.1</w:t>
            </w:r>
          </w:p>
        </w:tc>
        <w:tc>
          <w:tcPr>
            <w:tcW w:w="1916"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lastRenderedPageBreak/>
              <w:t xml:space="preserve">              10.5</w:t>
            </w:r>
          </w:p>
        </w:tc>
      </w:tr>
      <w:tr w:rsidR="0025561B" w:rsidRPr="006618F0" w:rsidTr="00A4508F">
        <w:tc>
          <w:tcPr>
            <w:tcW w:w="1548"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lastRenderedPageBreak/>
              <w:t>Vulnerability</w:t>
            </w:r>
          </w:p>
        </w:tc>
        <w:tc>
          <w:tcPr>
            <w:tcW w:w="2790" w:type="dxa"/>
            <w:tcBorders>
              <w:left w:val="nil"/>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Children &lt; 5 Years Old Living in Proverty (Percent) - 2000</w:t>
            </w:r>
          </w:p>
        </w:tc>
        <w:tc>
          <w:tcPr>
            <w:tcW w:w="1407"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5.5</w:t>
            </w:r>
          </w:p>
        </w:tc>
        <w:tc>
          <w:tcPr>
            <w:tcW w:w="1915" w:type="dxa"/>
            <w:tcBorders>
              <w:left w:val="nil"/>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25.3</w:t>
            </w:r>
          </w:p>
        </w:tc>
        <w:tc>
          <w:tcPr>
            <w:tcW w:w="1916"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28.3</w:t>
            </w:r>
          </w:p>
        </w:tc>
      </w:tr>
      <w:tr w:rsidR="0025561B" w:rsidRPr="006618F0" w:rsidTr="00A4508F">
        <w:tc>
          <w:tcPr>
            <w:tcW w:w="1548"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p>
        </w:tc>
        <w:tc>
          <w:tcPr>
            <w:tcW w:w="2790" w:type="dxa"/>
            <w:tcBorders>
              <w:left w:val="nil"/>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Poverty (Percent) - 2000</w:t>
            </w:r>
          </w:p>
        </w:tc>
        <w:tc>
          <w:tcPr>
            <w:tcW w:w="1407"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15.3</w:t>
            </w:r>
          </w:p>
        </w:tc>
        <w:tc>
          <w:tcPr>
            <w:tcW w:w="1915" w:type="dxa"/>
            <w:tcBorders>
              <w:left w:val="nil"/>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35.7</w:t>
            </w:r>
          </w:p>
        </w:tc>
        <w:tc>
          <w:tcPr>
            <w:tcW w:w="1916" w:type="dxa"/>
            <w:tcBorders>
              <w:left w:val="nil"/>
              <w:bottom w:val="single" w:sz="4" w:space="0" w:color="auto"/>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39.8</w:t>
            </w:r>
          </w:p>
        </w:tc>
      </w:tr>
      <w:tr w:rsidR="0025561B" w:rsidRPr="006618F0" w:rsidTr="00A4508F">
        <w:tc>
          <w:tcPr>
            <w:tcW w:w="1548" w:type="dxa"/>
            <w:tcBorders>
              <w:left w:val="nil"/>
              <w:right w:val="nil"/>
            </w:tcBorders>
          </w:tcPr>
          <w:p w:rsidR="0025561B" w:rsidRPr="006618F0" w:rsidRDefault="0025561B" w:rsidP="00A4508F">
            <w:pPr>
              <w:pStyle w:val="NoSpacing"/>
              <w:rPr>
                <w:rFonts w:ascii="Times New Roman" w:hAnsi="Times New Roman" w:cs="Times New Roman"/>
                <w:szCs w:val="20"/>
              </w:rPr>
            </w:pPr>
          </w:p>
        </w:tc>
        <w:tc>
          <w:tcPr>
            <w:tcW w:w="2790" w:type="dxa"/>
            <w:tcBorders>
              <w:left w:val="nil"/>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Crowding (Percent of Households) - 2000</w:t>
            </w:r>
          </w:p>
        </w:tc>
        <w:tc>
          <w:tcPr>
            <w:tcW w:w="1407" w:type="dxa"/>
            <w:tcBorders>
              <w:left w:val="nil"/>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4.6</w:t>
            </w:r>
          </w:p>
        </w:tc>
        <w:tc>
          <w:tcPr>
            <w:tcW w:w="1915" w:type="dxa"/>
            <w:tcBorders>
              <w:left w:val="nil"/>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10.5</w:t>
            </w:r>
          </w:p>
        </w:tc>
        <w:tc>
          <w:tcPr>
            <w:tcW w:w="1916" w:type="dxa"/>
            <w:tcBorders>
              <w:left w:val="nil"/>
              <w:right w:val="nil"/>
            </w:tcBorders>
          </w:tcPr>
          <w:p w:rsidR="0025561B" w:rsidRPr="006618F0" w:rsidRDefault="0025561B" w:rsidP="00A4508F">
            <w:pPr>
              <w:pStyle w:val="NoSpacing"/>
              <w:rPr>
                <w:rFonts w:ascii="Times New Roman" w:hAnsi="Times New Roman" w:cs="Times New Roman"/>
                <w:szCs w:val="20"/>
              </w:rPr>
            </w:pPr>
            <w:r w:rsidRPr="006618F0">
              <w:rPr>
                <w:rFonts w:ascii="Times New Roman" w:hAnsi="Times New Roman" w:cs="Times New Roman"/>
                <w:szCs w:val="20"/>
              </w:rPr>
              <w:t xml:space="preserve">               14.6</w:t>
            </w:r>
          </w:p>
        </w:tc>
      </w:tr>
    </w:tbl>
    <w:p w:rsidR="0025561B" w:rsidRDefault="0025561B" w:rsidP="0025561B">
      <w:pPr>
        <w:pStyle w:val="NoSpacing"/>
        <w:rPr>
          <w:rFonts w:ascii="Times New Roman" w:hAnsi="Times New Roman" w:cs="Times New Roman"/>
          <w:sz w:val="20"/>
          <w:szCs w:val="20"/>
        </w:rPr>
      </w:pPr>
    </w:p>
    <w:p w:rsidR="0025561B" w:rsidRDefault="0025561B" w:rsidP="0025561B">
      <w:pPr>
        <w:pStyle w:val="NoSpacing"/>
        <w:rPr>
          <w:rFonts w:ascii="Times New Roman" w:hAnsi="Times New Roman" w:cs="Times New Roman"/>
          <w:sz w:val="20"/>
          <w:szCs w:val="20"/>
        </w:rPr>
      </w:pPr>
    </w:p>
    <w:p w:rsidR="00F139A9" w:rsidRDefault="00F139A9" w:rsidP="0025561B">
      <w:pPr>
        <w:pStyle w:val="NoSpacing"/>
        <w:rPr>
          <w:rFonts w:ascii="Times New Roman" w:hAnsi="Times New Roman" w:cs="Times New Roman"/>
          <w:sz w:val="20"/>
          <w:szCs w:val="20"/>
        </w:rPr>
      </w:pPr>
    </w:p>
    <w:p w:rsidR="00F139A9" w:rsidRPr="006618F0" w:rsidRDefault="00F139A9" w:rsidP="0025561B">
      <w:pPr>
        <w:pStyle w:val="NoSpacing"/>
        <w:rPr>
          <w:rFonts w:ascii="Times New Roman" w:hAnsi="Times New Roman" w:cs="Times New Roman"/>
          <w:szCs w:val="20"/>
        </w:rPr>
      </w:pPr>
      <w:r w:rsidRPr="006618F0">
        <w:rPr>
          <w:rFonts w:ascii="Times New Roman" w:hAnsi="Times New Roman" w:cs="Times New Roman"/>
          <w:szCs w:val="20"/>
        </w:rPr>
        <w:t>Other observed environmental issues are: noise pollution due to heavy commercial traffic, sanitation trucks and ongoing construction.</w:t>
      </w:r>
    </w:p>
    <w:p w:rsidR="00F139A9" w:rsidRPr="006618F0" w:rsidRDefault="00F139A9" w:rsidP="0025561B">
      <w:pPr>
        <w:pStyle w:val="NoSpacing"/>
        <w:rPr>
          <w:rFonts w:ascii="Times New Roman" w:hAnsi="Times New Roman" w:cs="Times New Roman"/>
          <w:szCs w:val="20"/>
        </w:rPr>
      </w:pPr>
    </w:p>
    <w:p w:rsidR="00F139A9" w:rsidRPr="006618F0" w:rsidRDefault="00F139A9" w:rsidP="0025561B">
      <w:pPr>
        <w:pStyle w:val="NoSpacing"/>
        <w:rPr>
          <w:rFonts w:ascii="Times New Roman" w:hAnsi="Times New Roman" w:cs="Times New Roman"/>
          <w:szCs w:val="20"/>
        </w:rPr>
      </w:pPr>
      <w:r w:rsidRPr="006618F0">
        <w:rPr>
          <w:rFonts w:ascii="Times New Roman" w:hAnsi="Times New Roman" w:cs="Times New Roman"/>
          <w:szCs w:val="20"/>
        </w:rPr>
        <w:t>Air quality also affected due to heavy traffic both commercial and private.</w:t>
      </w:r>
    </w:p>
    <w:p w:rsidR="00F0367C" w:rsidRPr="006618F0" w:rsidRDefault="00F0367C" w:rsidP="0025561B">
      <w:pPr>
        <w:pStyle w:val="NoSpacing"/>
        <w:rPr>
          <w:rFonts w:ascii="Times New Roman" w:hAnsi="Times New Roman" w:cs="Times New Roman"/>
          <w:szCs w:val="20"/>
        </w:rPr>
      </w:pPr>
      <w:r w:rsidRPr="006618F0">
        <w:rPr>
          <w:rFonts w:ascii="Times New Roman" w:hAnsi="Times New Roman" w:cs="Times New Roman"/>
          <w:szCs w:val="20"/>
        </w:rPr>
        <w:t>Water: risk for contamination due to large number of dry cleaning stores releasing carcinogens into the underground.</w:t>
      </w:r>
    </w:p>
    <w:p w:rsidR="00F0367C" w:rsidRPr="006618F0" w:rsidRDefault="00F0367C" w:rsidP="0025561B">
      <w:pPr>
        <w:pStyle w:val="NoSpacing"/>
        <w:rPr>
          <w:rFonts w:ascii="Times New Roman" w:hAnsi="Times New Roman" w:cs="Times New Roman"/>
          <w:szCs w:val="20"/>
        </w:rPr>
      </w:pPr>
      <w:r w:rsidRPr="006618F0">
        <w:rPr>
          <w:rFonts w:ascii="Times New Roman" w:hAnsi="Times New Roman" w:cs="Times New Roman"/>
          <w:szCs w:val="20"/>
        </w:rPr>
        <w:t>Roads: need for immediate repairs to potholes and cracks in the road due to the resent heavy snow storms this past winter.</w:t>
      </w:r>
    </w:p>
    <w:p w:rsidR="00F0367C" w:rsidRPr="006618F0" w:rsidRDefault="00F0367C" w:rsidP="0025561B">
      <w:pPr>
        <w:pStyle w:val="NoSpacing"/>
        <w:rPr>
          <w:rFonts w:ascii="Times New Roman" w:hAnsi="Times New Roman" w:cs="Times New Roman"/>
          <w:szCs w:val="20"/>
        </w:rPr>
      </w:pPr>
      <w:r w:rsidRPr="006618F0">
        <w:rPr>
          <w:rFonts w:ascii="Times New Roman" w:hAnsi="Times New Roman" w:cs="Times New Roman"/>
          <w:szCs w:val="20"/>
        </w:rPr>
        <w:t>Bike: need for bike lanes.</w:t>
      </w:r>
    </w:p>
    <w:p w:rsidR="00F139A9" w:rsidRDefault="00F0367C" w:rsidP="0025561B">
      <w:pPr>
        <w:pStyle w:val="NoSpacing"/>
        <w:rPr>
          <w:rFonts w:ascii="Times New Roman" w:hAnsi="Times New Roman" w:cs="Times New Roman"/>
          <w:sz w:val="20"/>
          <w:szCs w:val="20"/>
        </w:rPr>
      </w:pPr>
      <w:r w:rsidRPr="006618F0">
        <w:rPr>
          <w:rFonts w:ascii="Times New Roman" w:hAnsi="Times New Roman" w:cs="Times New Roman"/>
          <w:szCs w:val="20"/>
        </w:rPr>
        <w:t>Safety: there are lots of construction site which uses cranes and scaf</w:t>
      </w:r>
      <w:r w:rsidR="006618F0" w:rsidRPr="006618F0">
        <w:rPr>
          <w:rFonts w:ascii="Times New Roman" w:hAnsi="Times New Roman" w:cs="Times New Roman"/>
          <w:szCs w:val="20"/>
        </w:rPr>
        <w:t>folding these poses risk to pede</w:t>
      </w:r>
      <w:r w:rsidRPr="006618F0">
        <w:rPr>
          <w:rFonts w:ascii="Times New Roman" w:hAnsi="Times New Roman" w:cs="Times New Roman"/>
          <w:szCs w:val="20"/>
        </w:rPr>
        <w:t>strians</w:t>
      </w:r>
      <w:r>
        <w:rPr>
          <w:rFonts w:ascii="Times New Roman" w:hAnsi="Times New Roman" w:cs="Times New Roman"/>
          <w:sz w:val="20"/>
          <w:szCs w:val="20"/>
        </w:rPr>
        <w:t xml:space="preserve">.  </w:t>
      </w:r>
    </w:p>
    <w:p w:rsidR="0025561B" w:rsidRDefault="0025561B" w:rsidP="0025561B">
      <w:pPr>
        <w:pStyle w:val="NoSpacing"/>
        <w:rPr>
          <w:rFonts w:ascii="Times New Roman" w:hAnsi="Times New Roman" w:cs="Times New Roman"/>
          <w:sz w:val="20"/>
          <w:szCs w:val="20"/>
        </w:rPr>
      </w:pPr>
    </w:p>
    <w:p w:rsidR="0025561B" w:rsidRDefault="0025561B" w:rsidP="0025561B">
      <w:pPr>
        <w:pStyle w:val="NoSpacing"/>
        <w:rPr>
          <w:rFonts w:ascii="Times New Roman" w:hAnsi="Times New Roman" w:cs="Times New Roman"/>
          <w:sz w:val="20"/>
          <w:szCs w:val="20"/>
        </w:rPr>
      </w:pPr>
    </w:p>
    <w:p w:rsidR="0025561B" w:rsidRDefault="0025561B" w:rsidP="0025561B">
      <w:pPr>
        <w:pStyle w:val="NoSpacing"/>
        <w:rPr>
          <w:rFonts w:ascii="Times New Roman" w:hAnsi="Times New Roman" w:cs="Times New Roman"/>
          <w:sz w:val="20"/>
          <w:szCs w:val="20"/>
        </w:rPr>
      </w:pPr>
    </w:p>
    <w:p w:rsidR="0025561B" w:rsidRDefault="0025561B" w:rsidP="0025561B">
      <w:pPr>
        <w:pStyle w:val="NoSpacing"/>
        <w:rPr>
          <w:rFonts w:ascii="Times New Roman" w:hAnsi="Times New Roman" w:cs="Times New Roman"/>
          <w:sz w:val="20"/>
          <w:szCs w:val="20"/>
        </w:rPr>
      </w:pPr>
    </w:p>
    <w:p w:rsidR="0025561B" w:rsidRDefault="0025561B" w:rsidP="0025561B">
      <w:pPr>
        <w:pStyle w:val="NoSpacing"/>
        <w:rPr>
          <w:rFonts w:ascii="Times New Roman" w:hAnsi="Times New Roman" w:cs="Times New Roman"/>
          <w:sz w:val="20"/>
          <w:szCs w:val="20"/>
        </w:rPr>
      </w:pPr>
    </w:p>
    <w:p w:rsidR="0025561B" w:rsidRPr="00135443" w:rsidRDefault="0025561B" w:rsidP="0025561B">
      <w:pPr>
        <w:pStyle w:val="NoSpacing"/>
        <w:rPr>
          <w:rFonts w:ascii="Times New Roman" w:hAnsi="Times New Roman" w:cs="Times New Roman"/>
          <w:sz w:val="20"/>
          <w:szCs w:val="20"/>
        </w:rPr>
      </w:pPr>
    </w:p>
    <w:p w:rsidR="0025561B" w:rsidRPr="00CA4D93" w:rsidRDefault="0025561B">
      <w:pPr>
        <w:rPr>
          <w:rFonts w:ascii="Times New Roman" w:hAnsi="Times New Roman" w:cs="Times New Roman"/>
          <w:sz w:val="32"/>
        </w:rPr>
      </w:pPr>
    </w:p>
    <w:sectPr w:rsidR="0025561B" w:rsidRPr="00CA4D93" w:rsidSect="007C6A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0200E"/>
    <w:rsid w:val="000009D3"/>
    <w:rsid w:val="0020200E"/>
    <w:rsid w:val="00203107"/>
    <w:rsid w:val="0025561B"/>
    <w:rsid w:val="002E18AC"/>
    <w:rsid w:val="003E5DC0"/>
    <w:rsid w:val="006618F0"/>
    <w:rsid w:val="007C6A8E"/>
    <w:rsid w:val="00CA4D93"/>
    <w:rsid w:val="00F0367C"/>
    <w:rsid w:val="00F13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200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75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Telesford</dc:creator>
  <cp:lastModifiedBy>Jennifer Telesford</cp:lastModifiedBy>
  <cp:revision>2</cp:revision>
  <dcterms:created xsi:type="dcterms:W3CDTF">2014-05-06T02:02:00Z</dcterms:created>
  <dcterms:modified xsi:type="dcterms:W3CDTF">2014-05-06T02:02:00Z</dcterms:modified>
</cp:coreProperties>
</file>