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Spectacular Blue Smith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From: James Mitchell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10/17/2017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Monetizing Social Media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I hope to explore some of the points made in Inc’s interview, to apply to my own career.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The article “Making a Social Media Impression” overviews Mr. Smith’s discovery of capitalizing on monetary gain from social media and building a wealthy company from those profits.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exactly do you get paid from Social Media?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services would a company like your’s offer?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your company look for when hiring strategists?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pitfalls of social media?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444444"/>
          <w:highlight w:val="white"/>
          <w:rtl w:val="0"/>
        </w:rPr>
        <w:t xml:space="preserve">Kate Rockwood (September 2017). “Making a Social Media Impression”. </w:t>
      </w:r>
      <w:r w:rsidDel="00000000" w:rsidR="00000000" w:rsidRPr="00000000">
        <w:rPr>
          <w:i w:val="1"/>
          <w:color w:val="444444"/>
          <w:highlight w:val="white"/>
          <w:rtl w:val="0"/>
        </w:rPr>
        <w:t xml:space="preserve">Inc. Magazine</w:t>
      </w:r>
      <w:r w:rsidDel="00000000" w:rsidR="00000000" w:rsidRPr="00000000">
        <w:rPr>
          <w:color w:val="444444"/>
          <w:highlight w:val="white"/>
          <w:rtl w:val="0"/>
        </w:rPr>
        <w:t xml:space="preserve">, 43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