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362BE" w14:textId="77777777" w:rsidR="007708FE" w:rsidRPr="00C71CDE" w:rsidRDefault="00AD2A4F">
      <w:pPr>
        <w:rPr>
          <w:sz w:val="20"/>
          <w:szCs w:val="20"/>
        </w:rPr>
      </w:pPr>
      <w:r w:rsidRPr="00C71CDE">
        <w:rPr>
          <w:sz w:val="20"/>
          <w:szCs w:val="20"/>
        </w:rPr>
        <w:t>1) Benjamin Franklin once said that “An investment in knowledge pays the best interest.”</w:t>
      </w:r>
    </w:p>
    <w:p w14:paraId="04D00179" w14:textId="77777777" w:rsidR="00AD2A4F" w:rsidRPr="00C71CDE" w:rsidRDefault="00AD2A4F">
      <w:pPr>
        <w:rPr>
          <w:sz w:val="20"/>
          <w:szCs w:val="20"/>
        </w:rPr>
      </w:pPr>
    </w:p>
    <w:p w14:paraId="3AD52865" w14:textId="51C1AFE3" w:rsidR="00AD2A4F" w:rsidRPr="00C71CDE" w:rsidRDefault="00AD2A4F">
      <w:pPr>
        <w:rPr>
          <w:i/>
          <w:sz w:val="20"/>
          <w:szCs w:val="20"/>
        </w:rPr>
      </w:pPr>
      <w:r w:rsidRPr="00C71CDE">
        <w:rPr>
          <w:sz w:val="20"/>
          <w:szCs w:val="20"/>
        </w:rPr>
        <w:tab/>
        <w:t xml:space="preserve">Readers need to know where our writer encountered this Benjamin Franklin quote.  </w:t>
      </w:r>
      <w:r w:rsidRPr="00C71CDE">
        <w:rPr>
          <w:sz w:val="20"/>
          <w:szCs w:val="20"/>
        </w:rPr>
        <w:tab/>
        <w:t xml:space="preserve">Let’s say that </w:t>
      </w:r>
      <w:r w:rsidR="00C71CDE">
        <w:rPr>
          <w:sz w:val="20"/>
          <w:szCs w:val="20"/>
        </w:rPr>
        <w:tab/>
      </w:r>
      <w:r w:rsidRPr="00C71CDE">
        <w:rPr>
          <w:sz w:val="20"/>
          <w:szCs w:val="20"/>
        </w:rPr>
        <w:t>she read a book by Larry Poe and</w:t>
      </w:r>
      <w:r w:rsidR="00C71CDE">
        <w:rPr>
          <w:sz w:val="20"/>
          <w:szCs w:val="20"/>
        </w:rPr>
        <w:t xml:space="preserve"> the quote was on page 3.  The </w:t>
      </w:r>
      <w:r w:rsidRPr="00C71CDE">
        <w:rPr>
          <w:sz w:val="20"/>
          <w:szCs w:val="20"/>
        </w:rPr>
        <w:t xml:space="preserve">revised sentence would read as </w:t>
      </w:r>
      <w:r w:rsidR="00C71CDE">
        <w:rPr>
          <w:sz w:val="20"/>
          <w:szCs w:val="20"/>
        </w:rPr>
        <w:tab/>
      </w:r>
      <w:r w:rsidRPr="00C71CDE">
        <w:rPr>
          <w:sz w:val="20"/>
          <w:szCs w:val="20"/>
        </w:rPr>
        <w:t xml:space="preserve">follows:  </w:t>
      </w:r>
      <w:r w:rsidRPr="00C71CDE">
        <w:rPr>
          <w:b/>
          <w:sz w:val="20"/>
          <w:szCs w:val="20"/>
        </w:rPr>
        <w:t>Benjam</w:t>
      </w:r>
      <w:r w:rsidR="00E6015B">
        <w:rPr>
          <w:b/>
          <w:sz w:val="20"/>
          <w:szCs w:val="20"/>
        </w:rPr>
        <w:t xml:space="preserve">in Franklin once said that “An </w:t>
      </w:r>
      <w:r w:rsidRPr="00C71CDE">
        <w:rPr>
          <w:b/>
          <w:sz w:val="20"/>
          <w:szCs w:val="20"/>
        </w:rPr>
        <w:t xml:space="preserve">investment in knowledge pays the best </w:t>
      </w:r>
      <w:r w:rsidR="00C71CDE">
        <w:rPr>
          <w:b/>
          <w:sz w:val="20"/>
          <w:szCs w:val="20"/>
        </w:rPr>
        <w:tab/>
      </w:r>
      <w:r w:rsidRPr="00C71CDE">
        <w:rPr>
          <w:b/>
          <w:sz w:val="20"/>
          <w:szCs w:val="20"/>
        </w:rPr>
        <w:t>interest” (Poe 3).</w:t>
      </w:r>
    </w:p>
    <w:p w14:paraId="1E7B6F54" w14:textId="77777777" w:rsidR="00AD2A4F" w:rsidRPr="00C71CDE" w:rsidRDefault="00AD2A4F">
      <w:pPr>
        <w:pBdr>
          <w:bottom w:val="single" w:sz="12" w:space="1" w:color="auto"/>
        </w:pBdr>
        <w:rPr>
          <w:b/>
          <w:sz w:val="20"/>
          <w:szCs w:val="20"/>
        </w:rPr>
      </w:pPr>
    </w:p>
    <w:p w14:paraId="006AABAE" w14:textId="77777777" w:rsidR="00AD2A4F" w:rsidRPr="00C71CDE" w:rsidRDefault="00AD2A4F">
      <w:pPr>
        <w:rPr>
          <w:b/>
          <w:sz w:val="20"/>
          <w:szCs w:val="20"/>
        </w:rPr>
      </w:pPr>
    </w:p>
    <w:p w14:paraId="1748F49A" w14:textId="04FC191C" w:rsidR="00AD2A4F" w:rsidRPr="00C71CDE" w:rsidRDefault="00AD2A4F">
      <w:pPr>
        <w:rPr>
          <w:sz w:val="20"/>
          <w:szCs w:val="20"/>
        </w:rPr>
      </w:pPr>
      <w:r w:rsidRPr="00C71CDE">
        <w:rPr>
          <w:sz w:val="20"/>
          <w:szCs w:val="20"/>
        </w:rPr>
        <w:t>2) On August 15, 2013, plaintiffs Pharrell Williams, Robin Thicke, and Clifford Harris Jr. allege defendants Bridgeport Music, INC, Frankie Christian Gaye, Marvin Gaye III, and Nona Marisa Gaye “continue to insist that plaintiffs massively successful composition, ‘Blurred Lines,’ cop</w:t>
      </w:r>
      <w:r w:rsidR="00E6015B">
        <w:rPr>
          <w:sz w:val="20"/>
          <w:szCs w:val="20"/>
        </w:rPr>
        <w:t>i</w:t>
      </w:r>
      <w:r w:rsidRPr="00C71CDE">
        <w:rPr>
          <w:sz w:val="20"/>
          <w:szCs w:val="20"/>
        </w:rPr>
        <w:t>es ‘their’ compositions.” (CV13 – 060004, Clerk U.S. District Court Central Dist Of Calif, Los Angeles.  15 August. 2013. Print.)</w:t>
      </w:r>
    </w:p>
    <w:p w14:paraId="64DC68DF" w14:textId="77777777" w:rsidR="00AD2A4F" w:rsidRPr="00C71CDE" w:rsidRDefault="00AD2A4F">
      <w:pPr>
        <w:rPr>
          <w:sz w:val="20"/>
          <w:szCs w:val="20"/>
        </w:rPr>
      </w:pPr>
    </w:p>
    <w:p w14:paraId="76B02FCD" w14:textId="4E67578F" w:rsidR="00AD2A4F" w:rsidRPr="00C71CDE" w:rsidRDefault="00AD2A4F">
      <w:pPr>
        <w:rPr>
          <w:b/>
          <w:sz w:val="20"/>
          <w:szCs w:val="20"/>
        </w:rPr>
      </w:pPr>
      <w:r w:rsidRPr="00C71CDE">
        <w:rPr>
          <w:sz w:val="20"/>
          <w:szCs w:val="20"/>
        </w:rPr>
        <w:tab/>
        <w:t>While information about the court case – our writer’s source –</w:t>
      </w:r>
      <w:r w:rsidR="00C71CDE">
        <w:rPr>
          <w:sz w:val="20"/>
          <w:szCs w:val="20"/>
        </w:rPr>
        <w:t xml:space="preserve"> definitely needs to be </w:t>
      </w:r>
      <w:r w:rsidRPr="00C71CDE">
        <w:rPr>
          <w:sz w:val="20"/>
          <w:szCs w:val="20"/>
        </w:rPr>
        <w:t xml:space="preserve">cited, the </w:t>
      </w:r>
      <w:r w:rsidR="00C71CDE">
        <w:rPr>
          <w:sz w:val="20"/>
          <w:szCs w:val="20"/>
        </w:rPr>
        <w:tab/>
      </w:r>
      <w:r w:rsidRPr="00C71CDE">
        <w:rPr>
          <w:sz w:val="20"/>
          <w:szCs w:val="20"/>
        </w:rPr>
        <w:t>appropriate place to list ALL of this informa</w:t>
      </w:r>
      <w:r w:rsidR="00C71CDE">
        <w:rPr>
          <w:sz w:val="20"/>
          <w:szCs w:val="20"/>
        </w:rPr>
        <w:t xml:space="preserve">tion is the Works Cited list.  </w:t>
      </w:r>
      <w:r w:rsidRPr="00C71CDE">
        <w:rPr>
          <w:sz w:val="20"/>
          <w:szCs w:val="20"/>
        </w:rPr>
        <w:t xml:space="preserve">Within the body of the </w:t>
      </w:r>
      <w:r w:rsidR="00C71CDE">
        <w:rPr>
          <w:sz w:val="20"/>
          <w:szCs w:val="20"/>
        </w:rPr>
        <w:tab/>
      </w:r>
      <w:r w:rsidRPr="00C71CDE">
        <w:rPr>
          <w:sz w:val="20"/>
          <w:szCs w:val="20"/>
        </w:rPr>
        <w:t>essay, our writer need</w:t>
      </w:r>
      <w:r w:rsidR="00C71CDE">
        <w:rPr>
          <w:sz w:val="20"/>
          <w:szCs w:val="20"/>
        </w:rPr>
        <w:t xml:space="preserve">s to provide readers with some </w:t>
      </w:r>
      <w:r w:rsidRPr="00C71CDE">
        <w:rPr>
          <w:sz w:val="20"/>
          <w:szCs w:val="20"/>
        </w:rPr>
        <w:t xml:space="preserve">slimmed down information:   </w:t>
      </w:r>
      <w:r w:rsidRPr="00C71CDE">
        <w:rPr>
          <w:b/>
          <w:sz w:val="20"/>
          <w:szCs w:val="20"/>
        </w:rPr>
        <w:t xml:space="preserve">According to </w:t>
      </w:r>
      <w:r w:rsidR="00C71CDE">
        <w:rPr>
          <w:b/>
          <w:sz w:val="20"/>
          <w:szCs w:val="20"/>
        </w:rPr>
        <w:tab/>
      </w:r>
      <w:r w:rsidR="00E6015B">
        <w:rPr>
          <w:b/>
          <w:sz w:val="20"/>
          <w:szCs w:val="20"/>
        </w:rPr>
        <w:t xml:space="preserve">their </w:t>
      </w:r>
      <w:r w:rsidRPr="00C71CDE">
        <w:rPr>
          <w:b/>
          <w:sz w:val="20"/>
          <w:szCs w:val="20"/>
        </w:rPr>
        <w:t xml:space="preserve">August 2013 court case, </w:t>
      </w:r>
      <w:r w:rsidR="00E6015B">
        <w:rPr>
          <w:b/>
          <w:sz w:val="20"/>
          <w:szCs w:val="20"/>
        </w:rPr>
        <w:t xml:space="preserve">plaitiffs </w:t>
      </w:r>
      <w:r w:rsidRPr="00C71CDE">
        <w:rPr>
          <w:b/>
          <w:sz w:val="20"/>
          <w:szCs w:val="20"/>
        </w:rPr>
        <w:t xml:space="preserve">Pharrell Williams, Robin Thicke, and Clifford Harris Jr. </w:t>
      </w:r>
      <w:r w:rsidR="00E6015B">
        <w:rPr>
          <w:b/>
          <w:sz w:val="20"/>
          <w:szCs w:val="20"/>
        </w:rPr>
        <w:tab/>
      </w:r>
      <w:r w:rsidRPr="00C71CDE">
        <w:rPr>
          <w:b/>
          <w:sz w:val="20"/>
          <w:szCs w:val="20"/>
        </w:rPr>
        <w:t xml:space="preserve">allege </w:t>
      </w:r>
      <w:r w:rsidR="00E6015B">
        <w:rPr>
          <w:b/>
          <w:sz w:val="20"/>
          <w:szCs w:val="20"/>
        </w:rPr>
        <w:t>that Bridgeport Music, Inc. and members of the late Marvin Gaye’s family</w:t>
      </w:r>
      <w:r w:rsidRPr="00C71CDE">
        <w:rPr>
          <w:b/>
          <w:sz w:val="20"/>
          <w:szCs w:val="20"/>
        </w:rPr>
        <w:t>,</w:t>
      </w:r>
      <w:r w:rsidR="00E6015B">
        <w:rPr>
          <w:b/>
          <w:sz w:val="20"/>
          <w:szCs w:val="20"/>
        </w:rPr>
        <w:t xml:space="preserve"> </w:t>
      </w:r>
      <w:r w:rsidRPr="00C71CDE">
        <w:rPr>
          <w:b/>
          <w:sz w:val="20"/>
          <w:szCs w:val="20"/>
        </w:rPr>
        <w:t xml:space="preserve">“continue to </w:t>
      </w:r>
      <w:r w:rsidR="00E6015B">
        <w:rPr>
          <w:b/>
          <w:sz w:val="20"/>
          <w:szCs w:val="20"/>
        </w:rPr>
        <w:tab/>
      </w:r>
      <w:r w:rsidRPr="00C71CDE">
        <w:rPr>
          <w:b/>
          <w:sz w:val="20"/>
          <w:szCs w:val="20"/>
        </w:rPr>
        <w:t>insist that plaintiffs massively successful composition, ‘Blurred Lines,’ cop</w:t>
      </w:r>
      <w:r w:rsidR="00E6015B">
        <w:rPr>
          <w:b/>
          <w:sz w:val="20"/>
          <w:szCs w:val="20"/>
        </w:rPr>
        <w:t>i</w:t>
      </w:r>
      <w:r w:rsidRPr="00C71CDE">
        <w:rPr>
          <w:b/>
          <w:sz w:val="20"/>
          <w:szCs w:val="20"/>
        </w:rPr>
        <w:t xml:space="preserve">es ‘their’ </w:t>
      </w:r>
      <w:r w:rsidR="00E6015B">
        <w:rPr>
          <w:b/>
          <w:sz w:val="20"/>
          <w:szCs w:val="20"/>
        </w:rPr>
        <w:tab/>
      </w:r>
      <w:r w:rsidRPr="00C71CDE">
        <w:rPr>
          <w:b/>
          <w:sz w:val="20"/>
          <w:szCs w:val="20"/>
        </w:rPr>
        <w:t xml:space="preserve">compositions” </w:t>
      </w:r>
      <w:r w:rsidR="00E6015B">
        <w:rPr>
          <w:b/>
          <w:sz w:val="20"/>
          <w:szCs w:val="20"/>
        </w:rPr>
        <w:tab/>
      </w:r>
      <w:r w:rsidRPr="00C71CDE">
        <w:rPr>
          <w:b/>
          <w:sz w:val="20"/>
          <w:szCs w:val="20"/>
        </w:rPr>
        <w:t>(</w:t>
      </w:r>
      <w:r w:rsidRPr="00C71CDE">
        <w:rPr>
          <w:b/>
          <w:i/>
          <w:sz w:val="20"/>
          <w:szCs w:val="20"/>
        </w:rPr>
        <w:t>Pharrell Williams et al v. Bridgeport Music Inc et al</w:t>
      </w:r>
      <w:r w:rsidRPr="00C71CDE">
        <w:rPr>
          <w:b/>
          <w:sz w:val="20"/>
          <w:szCs w:val="20"/>
        </w:rPr>
        <w:t>).</w:t>
      </w:r>
    </w:p>
    <w:p w14:paraId="6026CC7F" w14:textId="77777777" w:rsidR="00AD2A4F" w:rsidRPr="00C71CDE" w:rsidRDefault="00AD2A4F">
      <w:pPr>
        <w:pBdr>
          <w:bottom w:val="single" w:sz="12" w:space="1" w:color="auto"/>
        </w:pBdr>
        <w:rPr>
          <w:sz w:val="20"/>
          <w:szCs w:val="20"/>
        </w:rPr>
      </w:pPr>
    </w:p>
    <w:p w14:paraId="4B801C3F" w14:textId="77777777" w:rsidR="00AD2A4F" w:rsidRPr="00C71CDE" w:rsidRDefault="00AD2A4F">
      <w:pPr>
        <w:rPr>
          <w:sz w:val="20"/>
          <w:szCs w:val="20"/>
        </w:rPr>
      </w:pPr>
    </w:p>
    <w:p w14:paraId="0CC87D3F" w14:textId="77777777" w:rsidR="00AD2A4F" w:rsidRPr="00C71CDE" w:rsidRDefault="00AD2A4F">
      <w:pPr>
        <w:rPr>
          <w:sz w:val="20"/>
          <w:szCs w:val="20"/>
        </w:rPr>
      </w:pPr>
      <w:r w:rsidRPr="00C71CDE">
        <w:rPr>
          <w:sz w:val="20"/>
          <w:szCs w:val="20"/>
        </w:rPr>
        <w:t xml:space="preserve">3) The franchise was first created as a series of virtual pets, influenced in style by the modern Tamagotchi.  The creatures were first designed to look cute and iconic even on the devices’ small screens; later developments had them created with a harder-edged style influenced by American comics.  The franchise gained momentum with its first anime incarnation, </w:t>
      </w:r>
      <w:r w:rsidRPr="00C71CDE">
        <w:rPr>
          <w:i/>
          <w:sz w:val="20"/>
          <w:szCs w:val="20"/>
        </w:rPr>
        <w:t>Digimon Adventure</w:t>
      </w:r>
      <w:r w:rsidRPr="00C71CDE">
        <w:rPr>
          <w:sz w:val="20"/>
          <w:szCs w:val="20"/>
        </w:rPr>
        <w:t xml:space="preserve">, and an early video game, </w:t>
      </w:r>
      <w:r w:rsidRPr="00C71CDE">
        <w:rPr>
          <w:i/>
          <w:sz w:val="20"/>
          <w:szCs w:val="20"/>
        </w:rPr>
        <w:t>Digimon World</w:t>
      </w:r>
      <w:r w:rsidRPr="00C71CDE">
        <w:rPr>
          <w:sz w:val="20"/>
          <w:szCs w:val="20"/>
        </w:rPr>
        <w:t>.</w:t>
      </w:r>
    </w:p>
    <w:p w14:paraId="0279A3FF" w14:textId="77777777" w:rsidR="00AD2A4F" w:rsidRPr="00C71CDE" w:rsidRDefault="00AD2A4F">
      <w:pPr>
        <w:rPr>
          <w:sz w:val="20"/>
          <w:szCs w:val="20"/>
        </w:rPr>
      </w:pPr>
    </w:p>
    <w:p w14:paraId="0F951367" w14:textId="0B238406" w:rsidR="00AD2A4F" w:rsidRPr="00C71CDE" w:rsidRDefault="00AD2A4F">
      <w:pPr>
        <w:pBdr>
          <w:bottom w:val="single" w:sz="12" w:space="1" w:color="auto"/>
        </w:pBdr>
        <w:rPr>
          <w:b/>
          <w:sz w:val="20"/>
          <w:szCs w:val="20"/>
        </w:rPr>
      </w:pPr>
      <w:r w:rsidRPr="00C71CDE">
        <w:rPr>
          <w:sz w:val="20"/>
          <w:szCs w:val="20"/>
        </w:rPr>
        <w:tab/>
        <w:t xml:space="preserve">Here our writer is sharing information that is not </w:t>
      </w:r>
      <w:r w:rsidR="00C71CDE">
        <w:rPr>
          <w:sz w:val="20"/>
          <w:szCs w:val="20"/>
        </w:rPr>
        <w:t xml:space="preserve">common knowledge.  As such, he </w:t>
      </w:r>
      <w:r w:rsidRPr="00C71CDE">
        <w:rPr>
          <w:sz w:val="20"/>
          <w:szCs w:val="20"/>
        </w:rPr>
        <w:t xml:space="preserve">must tell readers </w:t>
      </w:r>
      <w:r w:rsidR="00C71CDE">
        <w:rPr>
          <w:sz w:val="20"/>
          <w:szCs w:val="20"/>
        </w:rPr>
        <w:tab/>
      </w:r>
      <w:r w:rsidRPr="00C71CDE">
        <w:rPr>
          <w:sz w:val="20"/>
          <w:szCs w:val="20"/>
        </w:rPr>
        <w:t xml:space="preserve">where he learned the information (and, in turn, help readers understand where THEY can go to find </w:t>
      </w:r>
      <w:r w:rsidR="00C71CDE">
        <w:rPr>
          <w:sz w:val="20"/>
          <w:szCs w:val="20"/>
        </w:rPr>
        <w:tab/>
      </w:r>
      <w:r w:rsidRPr="00C71CDE">
        <w:rPr>
          <w:sz w:val="20"/>
          <w:szCs w:val="20"/>
        </w:rPr>
        <w:t xml:space="preserve">out more about </w:t>
      </w:r>
      <w:r w:rsidR="00C71CDE">
        <w:rPr>
          <w:sz w:val="20"/>
          <w:szCs w:val="20"/>
        </w:rPr>
        <w:t xml:space="preserve">the evolution of Digimon).  </w:t>
      </w:r>
      <w:r w:rsidR="002834E8" w:rsidRPr="00C71CDE">
        <w:rPr>
          <w:sz w:val="20"/>
          <w:szCs w:val="20"/>
        </w:rPr>
        <w:t xml:space="preserve">Assuming all of this paraphrased information is from an </w:t>
      </w:r>
      <w:r w:rsidR="00C71CDE">
        <w:rPr>
          <w:sz w:val="20"/>
          <w:szCs w:val="20"/>
        </w:rPr>
        <w:tab/>
      </w:r>
      <w:r w:rsidR="002834E8" w:rsidRPr="00C71CDE">
        <w:rPr>
          <w:sz w:val="20"/>
          <w:szCs w:val="20"/>
        </w:rPr>
        <w:t xml:space="preserve">online source written by </w:t>
      </w:r>
      <w:r w:rsidR="002834E8" w:rsidRPr="00C71CDE">
        <w:rPr>
          <w:sz w:val="20"/>
          <w:szCs w:val="20"/>
        </w:rPr>
        <w:tab/>
        <w:t xml:space="preserve">Larry Poe:  </w:t>
      </w:r>
      <w:r w:rsidR="002834E8" w:rsidRPr="00C71CDE">
        <w:rPr>
          <w:b/>
          <w:sz w:val="20"/>
          <w:szCs w:val="20"/>
        </w:rPr>
        <w:t>The franchise was first created…</w:t>
      </w:r>
      <w:r w:rsidR="002834E8" w:rsidRPr="008A3096">
        <w:rPr>
          <w:b/>
          <w:i/>
          <w:sz w:val="20"/>
          <w:szCs w:val="20"/>
        </w:rPr>
        <w:t>Digimon World</w:t>
      </w:r>
      <w:r w:rsidR="002834E8" w:rsidRPr="00C71CDE">
        <w:rPr>
          <w:b/>
          <w:sz w:val="20"/>
          <w:szCs w:val="20"/>
        </w:rPr>
        <w:t xml:space="preserve"> (Poe).</w:t>
      </w:r>
    </w:p>
    <w:p w14:paraId="2D8D9D73" w14:textId="77777777" w:rsidR="00DC236B" w:rsidRPr="00C71CDE" w:rsidRDefault="00DC236B">
      <w:pPr>
        <w:pBdr>
          <w:bottom w:val="single" w:sz="12" w:space="1" w:color="auto"/>
        </w:pBdr>
        <w:rPr>
          <w:b/>
          <w:sz w:val="20"/>
          <w:szCs w:val="20"/>
        </w:rPr>
      </w:pPr>
    </w:p>
    <w:p w14:paraId="1BC0B982" w14:textId="77777777" w:rsidR="00DC236B" w:rsidRPr="00C71CDE" w:rsidRDefault="00DC236B">
      <w:pPr>
        <w:rPr>
          <w:b/>
          <w:sz w:val="20"/>
          <w:szCs w:val="20"/>
        </w:rPr>
      </w:pPr>
    </w:p>
    <w:p w14:paraId="2CDE08BD" w14:textId="45C9B94F" w:rsidR="00DC236B" w:rsidRPr="00C71CDE" w:rsidRDefault="00DC236B">
      <w:pPr>
        <w:rPr>
          <w:sz w:val="20"/>
          <w:szCs w:val="20"/>
        </w:rPr>
      </w:pPr>
      <w:r w:rsidRPr="00C71CDE">
        <w:rPr>
          <w:sz w:val="20"/>
          <w:szCs w:val="20"/>
        </w:rPr>
        <w:t>4) Among the risk factors stated it was brought to my attention through a recent article published by Laura Donnelly health editor of the Telegraph that “bacon, ham and sausage rank alongside cigarettes as a major cause of cancer, the World Health Organization (WHO) has said.”</w:t>
      </w:r>
    </w:p>
    <w:p w14:paraId="66D6E5FC" w14:textId="77777777" w:rsidR="00DC236B" w:rsidRPr="00C71CDE" w:rsidRDefault="00DC236B">
      <w:pPr>
        <w:rPr>
          <w:sz w:val="20"/>
          <w:szCs w:val="20"/>
        </w:rPr>
      </w:pPr>
    </w:p>
    <w:p w14:paraId="5D41F007" w14:textId="5EDA2B6A" w:rsidR="00DC236B" w:rsidRPr="00C71CDE" w:rsidRDefault="00DC236B">
      <w:pPr>
        <w:rPr>
          <w:b/>
          <w:sz w:val="20"/>
          <w:szCs w:val="20"/>
        </w:rPr>
      </w:pPr>
      <w:r w:rsidRPr="00C71CDE">
        <w:rPr>
          <w:sz w:val="20"/>
          <w:szCs w:val="20"/>
        </w:rPr>
        <w:tab/>
        <w:t xml:space="preserve">Here our writer quotes a journalist from </w:t>
      </w:r>
      <w:r w:rsidRPr="00C71CDE">
        <w:rPr>
          <w:i/>
          <w:sz w:val="20"/>
          <w:szCs w:val="20"/>
        </w:rPr>
        <w:t>The Telegraph</w:t>
      </w:r>
      <w:r w:rsidR="00C71CDE">
        <w:rPr>
          <w:sz w:val="20"/>
          <w:szCs w:val="20"/>
        </w:rPr>
        <w:t xml:space="preserve">, Laura Donnelly, who is </w:t>
      </w:r>
      <w:r w:rsidRPr="00C71CDE">
        <w:rPr>
          <w:sz w:val="20"/>
          <w:szCs w:val="20"/>
        </w:rPr>
        <w:t xml:space="preserve">quoting a report </w:t>
      </w:r>
      <w:r w:rsidR="00C71CDE">
        <w:rPr>
          <w:sz w:val="20"/>
          <w:szCs w:val="20"/>
        </w:rPr>
        <w:tab/>
      </w:r>
      <w:r w:rsidRPr="00C71CDE">
        <w:rPr>
          <w:sz w:val="20"/>
          <w:szCs w:val="20"/>
        </w:rPr>
        <w:t>released by the WHO.  Let’s rephras</w:t>
      </w:r>
      <w:r w:rsidR="00C71CDE">
        <w:rPr>
          <w:sz w:val="20"/>
          <w:szCs w:val="20"/>
        </w:rPr>
        <w:t xml:space="preserve">e so that readers gain a clear </w:t>
      </w:r>
      <w:r w:rsidRPr="00C71CDE">
        <w:rPr>
          <w:sz w:val="20"/>
          <w:szCs w:val="20"/>
        </w:rPr>
        <w:t xml:space="preserve">understanding of who said what:  </w:t>
      </w:r>
      <w:r w:rsidR="00C71CDE">
        <w:rPr>
          <w:sz w:val="20"/>
          <w:szCs w:val="20"/>
        </w:rPr>
        <w:tab/>
      </w:r>
      <w:r w:rsidR="00E6015B">
        <w:rPr>
          <w:b/>
          <w:sz w:val="20"/>
          <w:szCs w:val="20"/>
        </w:rPr>
        <w:t>A recent article published by</w:t>
      </w:r>
      <w:r w:rsidRPr="00C71CDE">
        <w:rPr>
          <w:b/>
          <w:sz w:val="20"/>
          <w:szCs w:val="20"/>
        </w:rPr>
        <w:t xml:space="preserve"> </w:t>
      </w:r>
      <w:r w:rsidR="00E6015B">
        <w:rPr>
          <w:b/>
          <w:i/>
          <w:sz w:val="20"/>
          <w:szCs w:val="20"/>
        </w:rPr>
        <w:t xml:space="preserve">The </w:t>
      </w:r>
      <w:r w:rsidRPr="00C71CDE">
        <w:rPr>
          <w:b/>
          <w:i/>
          <w:sz w:val="20"/>
          <w:szCs w:val="20"/>
        </w:rPr>
        <w:t>Telegraph</w:t>
      </w:r>
      <w:r w:rsidRPr="00C71CDE">
        <w:rPr>
          <w:b/>
          <w:sz w:val="20"/>
          <w:szCs w:val="20"/>
        </w:rPr>
        <w:t xml:space="preserve"> cites a </w:t>
      </w:r>
      <w:r w:rsidR="00E6015B">
        <w:rPr>
          <w:b/>
          <w:sz w:val="20"/>
          <w:szCs w:val="20"/>
        </w:rPr>
        <w:t xml:space="preserve">World Health Organization (WHO) </w:t>
      </w:r>
      <w:r w:rsidR="00C71CDE">
        <w:rPr>
          <w:b/>
          <w:sz w:val="20"/>
          <w:szCs w:val="20"/>
        </w:rPr>
        <w:t xml:space="preserve">finding </w:t>
      </w:r>
      <w:r w:rsidR="00E6015B">
        <w:rPr>
          <w:b/>
          <w:sz w:val="20"/>
          <w:szCs w:val="20"/>
        </w:rPr>
        <w:tab/>
      </w:r>
      <w:r w:rsidR="00C71CDE">
        <w:rPr>
          <w:b/>
          <w:sz w:val="20"/>
          <w:szCs w:val="20"/>
        </w:rPr>
        <w:t xml:space="preserve">that “bacon, ham, </w:t>
      </w:r>
      <w:r w:rsidRPr="00C71CDE">
        <w:rPr>
          <w:b/>
          <w:sz w:val="20"/>
          <w:szCs w:val="20"/>
        </w:rPr>
        <w:t>and sausage rank alongside cigare</w:t>
      </w:r>
      <w:r w:rsidR="00E6015B">
        <w:rPr>
          <w:b/>
          <w:sz w:val="20"/>
          <w:szCs w:val="20"/>
        </w:rPr>
        <w:t>ttes as a major cause of cancer</w:t>
      </w:r>
      <w:r w:rsidRPr="00C71CDE">
        <w:rPr>
          <w:b/>
          <w:sz w:val="20"/>
          <w:szCs w:val="20"/>
        </w:rPr>
        <w:t>”</w:t>
      </w:r>
      <w:r w:rsidR="00E6015B">
        <w:rPr>
          <w:b/>
          <w:sz w:val="20"/>
          <w:szCs w:val="20"/>
        </w:rPr>
        <w:t xml:space="preserve"> </w:t>
      </w:r>
      <w:r w:rsidR="00E6015B">
        <w:rPr>
          <w:b/>
          <w:sz w:val="20"/>
          <w:szCs w:val="20"/>
        </w:rPr>
        <w:tab/>
        <w:t>(Donnelly).</w:t>
      </w:r>
    </w:p>
    <w:p w14:paraId="329B2709" w14:textId="4C551B7D" w:rsidR="00DC236B" w:rsidRPr="00C71CDE" w:rsidRDefault="00DC236B">
      <w:pPr>
        <w:rPr>
          <w:sz w:val="20"/>
          <w:szCs w:val="20"/>
        </w:rPr>
      </w:pPr>
      <w:r w:rsidRPr="00C71CDE">
        <w:rPr>
          <w:sz w:val="20"/>
          <w:szCs w:val="20"/>
        </w:rPr>
        <w:t xml:space="preserve"> </w:t>
      </w:r>
    </w:p>
    <w:p w14:paraId="2303E3FA" w14:textId="77777777" w:rsidR="00502803" w:rsidRPr="00C71CDE" w:rsidRDefault="00502803">
      <w:pPr>
        <w:pBdr>
          <w:bottom w:val="single" w:sz="12" w:space="1" w:color="auto"/>
        </w:pBdr>
        <w:rPr>
          <w:sz w:val="20"/>
          <w:szCs w:val="20"/>
        </w:rPr>
      </w:pPr>
    </w:p>
    <w:p w14:paraId="29C7000C" w14:textId="77777777" w:rsidR="00502803" w:rsidRPr="00C71CDE" w:rsidRDefault="00502803">
      <w:pPr>
        <w:rPr>
          <w:sz w:val="20"/>
          <w:szCs w:val="20"/>
        </w:rPr>
      </w:pPr>
    </w:p>
    <w:p w14:paraId="5360EEAC" w14:textId="2D06FA1D" w:rsidR="00502803" w:rsidRPr="00C71CDE" w:rsidRDefault="005E71B6">
      <w:pPr>
        <w:rPr>
          <w:sz w:val="20"/>
          <w:szCs w:val="20"/>
        </w:rPr>
      </w:pPr>
      <w:r w:rsidRPr="00C71CDE">
        <w:rPr>
          <w:sz w:val="20"/>
          <w:szCs w:val="20"/>
        </w:rPr>
        <w:t xml:space="preserve">5) According to Howard W. Foster, an editor for The National Interest.  He wrote an article titled </w:t>
      </w:r>
      <w:r w:rsidRPr="00C71CDE">
        <w:rPr>
          <w:sz w:val="20"/>
          <w:szCs w:val="20"/>
          <w:u w:val="single"/>
        </w:rPr>
        <w:t>Why More Immigration Is Bad for America</w:t>
      </w:r>
      <w:r w:rsidRPr="00C71CDE">
        <w:rPr>
          <w:sz w:val="20"/>
          <w:szCs w:val="20"/>
        </w:rPr>
        <w:t xml:space="preserve"> stating that immigrants are stealing jobs and is the reason why unemployment is so high.</w:t>
      </w:r>
    </w:p>
    <w:p w14:paraId="41C4914C" w14:textId="77777777" w:rsidR="005E71B6" w:rsidRPr="00C71CDE" w:rsidRDefault="005E71B6">
      <w:pPr>
        <w:rPr>
          <w:sz w:val="20"/>
          <w:szCs w:val="20"/>
        </w:rPr>
      </w:pPr>
    </w:p>
    <w:p w14:paraId="7FB5EB6B" w14:textId="66DBFEAC" w:rsidR="005E71B6" w:rsidRPr="00C71CDE" w:rsidRDefault="005E71B6">
      <w:pPr>
        <w:rPr>
          <w:b/>
          <w:i/>
          <w:sz w:val="20"/>
          <w:szCs w:val="20"/>
        </w:rPr>
      </w:pPr>
      <w:r w:rsidRPr="00C71CDE">
        <w:rPr>
          <w:sz w:val="20"/>
          <w:szCs w:val="20"/>
        </w:rPr>
        <w:tab/>
        <w:t xml:space="preserve">Our writer provides us with a lot of information about Foster, but packing all of this </w:t>
      </w:r>
      <w:r w:rsidR="00A477D1" w:rsidRPr="00C71CDE">
        <w:rPr>
          <w:sz w:val="20"/>
          <w:szCs w:val="20"/>
        </w:rPr>
        <w:tab/>
      </w:r>
      <w:r w:rsidRPr="00C71CDE">
        <w:rPr>
          <w:sz w:val="20"/>
          <w:szCs w:val="20"/>
        </w:rPr>
        <w:t xml:space="preserve">information into </w:t>
      </w:r>
      <w:r w:rsidR="00C71CDE">
        <w:rPr>
          <w:sz w:val="20"/>
          <w:szCs w:val="20"/>
        </w:rPr>
        <w:tab/>
      </w:r>
      <w:r w:rsidRPr="00C71CDE">
        <w:rPr>
          <w:sz w:val="20"/>
          <w:szCs w:val="20"/>
        </w:rPr>
        <w:t xml:space="preserve">the body of the essay ends up detracting from the quote’s </w:t>
      </w:r>
      <w:r w:rsidR="00BF5956">
        <w:rPr>
          <w:sz w:val="20"/>
          <w:szCs w:val="20"/>
        </w:rPr>
        <w:t>inflammatory</w:t>
      </w:r>
      <w:r w:rsidRPr="00C71CDE">
        <w:rPr>
          <w:sz w:val="20"/>
          <w:szCs w:val="20"/>
        </w:rPr>
        <w:t xml:space="preserve"> power.  Let’s revise the </w:t>
      </w:r>
      <w:r w:rsidR="00C71CDE">
        <w:rPr>
          <w:sz w:val="20"/>
          <w:szCs w:val="20"/>
        </w:rPr>
        <w:tab/>
      </w:r>
      <w:r w:rsidRPr="00C71CDE">
        <w:rPr>
          <w:sz w:val="20"/>
          <w:szCs w:val="20"/>
        </w:rPr>
        <w:t xml:space="preserve">sentence for clarity:  </w:t>
      </w:r>
      <w:r w:rsidRPr="00C71CDE">
        <w:rPr>
          <w:b/>
          <w:sz w:val="20"/>
          <w:szCs w:val="20"/>
        </w:rPr>
        <w:t xml:space="preserve">In a </w:t>
      </w:r>
      <w:r w:rsidRPr="00C71CDE">
        <w:rPr>
          <w:b/>
          <w:i/>
          <w:sz w:val="20"/>
          <w:szCs w:val="20"/>
        </w:rPr>
        <w:t>National Interest</w:t>
      </w:r>
      <w:r w:rsidRPr="00C71CDE">
        <w:rPr>
          <w:b/>
          <w:sz w:val="20"/>
          <w:szCs w:val="20"/>
        </w:rPr>
        <w:t xml:space="preserve"> article titled “Why More Immigration is Bad for </w:t>
      </w:r>
      <w:r w:rsidR="00C71CDE">
        <w:rPr>
          <w:b/>
          <w:sz w:val="20"/>
          <w:szCs w:val="20"/>
        </w:rPr>
        <w:tab/>
      </w:r>
      <w:r w:rsidRPr="00C71CDE">
        <w:rPr>
          <w:b/>
          <w:sz w:val="20"/>
          <w:szCs w:val="20"/>
        </w:rPr>
        <w:t xml:space="preserve">America,” Howard W. Foster argues that immigrants are contributing to high unemployment </w:t>
      </w:r>
      <w:r w:rsidR="00C71CDE">
        <w:rPr>
          <w:b/>
          <w:sz w:val="20"/>
          <w:szCs w:val="20"/>
        </w:rPr>
        <w:tab/>
      </w:r>
      <w:r w:rsidRPr="00C71CDE">
        <w:rPr>
          <w:b/>
          <w:sz w:val="20"/>
          <w:szCs w:val="20"/>
        </w:rPr>
        <w:t>rates by “stealing jobs.”</w:t>
      </w:r>
      <w:r w:rsidRPr="00C71CDE">
        <w:rPr>
          <w:b/>
          <w:i/>
          <w:sz w:val="20"/>
          <w:szCs w:val="20"/>
        </w:rPr>
        <w:t xml:space="preserve"> </w:t>
      </w:r>
    </w:p>
    <w:p w14:paraId="7B05FBA4" w14:textId="77777777" w:rsidR="00A477D1" w:rsidRPr="00C71CDE" w:rsidRDefault="00A477D1">
      <w:pPr>
        <w:rPr>
          <w:b/>
          <w:i/>
          <w:sz w:val="20"/>
          <w:szCs w:val="20"/>
        </w:rPr>
      </w:pPr>
    </w:p>
    <w:p w14:paraId="2F93BD03" w14:textId="1C962A3A" w:rsidR="00A477D1" w:rsidRPr="00C71CDE" w:rsidRDefault="00A477D1">
      <w:pPr>
        <w:rPr>
          <w:sz w:val="20"/>
          <w:szCs w:val="20"/>
        </w:rPr>
      </w:pPr>
      <w:r w:rsidRPr="00C71CDE">
        <w:rPr>
          <w:sz w:val="20"/>
          <w:szCs w:val="20"/>
        </w:rPr>
        <w:tab/>
      </w:r>
      <w:r w:rsidR="00BF5956">
        <w:rPr>
          <w:sz w:val="20"/>
          <w:szCs w:val="20"/>
        </w:rPr>
        <w:t>Note</w:t>
      </w:r>
      <w:r w:rsidRPr="00C71CDE">
        <w:rPr>
          <w:sz w:val="20"/>
          <w:szCs w:val="20"/>
        </w:rPr>
        <w:t>!  We do not need to include a parenthetical citati</w:t>
      </w:r>
      <w:r w:rsidR="00063028">
        <w:rPr>
          <w:sz w:val="20"/>
          <w:szCs w:val="20"/>
        </w:rPr>
        <w:t xml:space="preserve">on (Foster) at the end of this </w:t>
      </w:r>
      <w:r w:rsidRPr="00C71CDE">
        <w:rPr>
          <w:sz w:val="20"/>
          <w:szCs w:val="20"/>
        </w:rPr>
        <w:t xml:space="preserve">sentence because </w:t>
      </w:r>
      <w:r w:rsidR="00063028">
        <w:rPr>
          <w:sz w:val="20"/>
          <w:szCs w:val="20"/>
        </w:rPr>
        <w:tab/>
      </w:r>
      <w:bookmarkStart w:id="0" w:name="_GoBack"/>
      <w:bookmarkEnd w:id="0"/>
      <w:r w:rsidRPr="00C71CDE">
        <w:rPr>
          <w:sz w:val="20"/>
          <w:szCs w:val="20"/>
        </w:rPr>
        <w:t>we have woven the citation into the sentence itself.</w:t>
      </w:r>
    </w:p>
    <w:p w14:paraId="4561226C" w14:textId="77777777" w:rsidR="00C71CDE" w:rsidRPr="00C71CDE" w:rsidRDefault="00C71CDE">
      <w:pPr>
        <w:rPr>
          <w:b/>
          <w:sz w:val="20"/>
          <w:szCs w:val="20"/>
        </w:rPr>
      </w:pPr>
    </w:p>
    <w:sectPr w:rsidR="00C71CDE" w:rsidRPr="00C71CDE" w:rsidSect="00C71CD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666"/>
    <w:rsid w:val="00063028"/>
    <w:rsid w:val="002834E8"/>
    <w:rsid w:val="00502803"/>
    <w:rsid w:val="005E71B6"/>
    <w:rsid w:val="007708FE"/>
    <w:rsid w:val="008A3096"/>
    <w:rsid w:val="00A477D1"/>
    <w:rsid w:val="00A722FA"/>
    <w:rsid w:val="00AD2A4F"/>
    <w:rsid w:val="00BF5956"/>
    <w:rsid w:val="00C71CDE"/>
    <w:rsid w:val="00DC236B"/>
    <w:rsid w:val="00E6015B"/>
    <w:rsid w:val="00E71C24"/>
    <w:rsid w:val="00F9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AB5A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984133">
      <w:bodyDiv w:val="1"/>
      <w:marLeft w:val="0"/>
      <w:marRight w:val="0"/>
      <w:marTop w:val="0"/>
      <w:marBottom w:val="0"/>
      <w:divBdr>
        <w:top w:val="none" w:sz="0" w:space="0" w:color="auto"/>
        <w:left w:val="none" w:sz="0" w:space="0" w:color="auto"/>
        <w:bottom w:val="none" w:sz="0" w:space="0" w:color="auto"/>
        <w:right w:val="none" w:sz="0" w:space="0" w:color="auto"/>
      </w:divBdr>
    </w:div>
    <w:div w:id="1119765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559</Words>
  <Characters>3191</Characters>
  <Application>Microsoft Macintosh Word</Application>
  <DocSecurity>0</DocSecurity>
  <Lines>26</Lines>
  <Paragraphs>7</Paragraphs>
  <ScaleCrop>false</ScaleCrop>
  <Company>DOE</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Hughes</dc:creator>
  <cp:keywords/>
  <dc:description/>
  <cp:lastModifiedBy>Kara Hughes</cp:lastModifiedBy>
  <cp:revision>10</cp:revision>
  <dcterms:created xsi:type="dcterms:W3CDTF">2015-11-20T14:15:00Z</dcterms:created>
  <dcterms:modified xsi:type="dcterms:W3CDTF">2015-11-23T17:23:00Z</dcterms:modified>
</cp:coreProperties>
</file>