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B9" w:rsidRPr="007942BA" w:rsidRDefault="00990D8D">
      <w:pPr>
        <w:rPr>
          <w:b/>
          <w:sz w:val="24"/>
          <w:szCs w:val="24"/>
        </w:rPr>
      </w:pPr>
      <w:r w:rsidRPr="007942BA">
        <w:rPr>
          <w:b/>
          <w:sz w:val="24"/>
          <w:szCs w:val="24"/>
        </w:rPr>
        <w:t>Introduction</w:t>
      </w:r>
    </w:p>
    <w:p w:rsidR="00990D8D" w:rsidRDefault="00990D8D">
      <w:pPr>
        <w:rPr>
          <w:sz w:val="24"/>
          <w:szCs w:val="24"/>
        </w:rPr>
      </w:pPr>
      <w:r>
        <w:rPr>
          <w:sz w:val="24"/>
          <w:szCs w:val="24"/>
        </w:rPr>
        <w:t>This paper looks at the infant mortality rates</w:t>
      </w:r>
      <w:r w:rsidR="007942BA">
        <w:rPr>
          <w:sz w:val="24"/>
          <w:szCs w:val="24"/>
        </w:rPr>
        <w:t xml:space="preserve"> (IMR)</w:t>
      </w:r>
      <w:r>
        <w:rPr>
          <w:sz w:val="24"/>
          <w:szCs w:val="24"/>
        </w:rPr>
        <w:t xml:space="preserve"> and gross domestic product purchasing power parity </w:t>
      </w:r>
      <w:r w:rsidR="007942BA">
        <w:rPr>
          <w:sz w:val="24"/>
          <w:szCs w:val="24"/>
        </w:rPr>
        <w:t xml:space="preserve">(GDP PPP) </w:t>
      </w:r>
      <w:r>
        <w:rPr>
          <w:sz w:val="24"/>
          <w:szCs w:val="24"/>
        </w:rPr>
        <w:t>for 24 countries across the Middle East, North Africa, and Mediterr</w:t>
      </w:r>
      <w:r w:rsidR="007942BA">
        <w:rPr>
          <w:sz w:val="24"/>
          <w:szCs w:val="24"/>
        </w:rPr>
        <w:t>anean Europe over the thirty-one years between 1980 and 2010.</w:t>
      </w:r>
    </w:p>
    <w:p w:rsidR="006559CA" w:rsidRDefault="006559CA">
      <w:pPr>
        <w:rPr>
          <w:b/>
          <w:sz w:val="24"/>
          <w:szCs w:val="24"/>
        </w:rPr>
      </w:pPr>
    </w:p>
    <w:p w:rsidR="00990D8D" w:rsidRPr="007942BA" w:rsidRDefault="00990D8D">
      <w:pPr>
        <w:rPr>
          <w:b/>
          <w:sz w:val="24"/>
          <w:szCs w:val="24"/>
        </w:rPr>
      </w:pPr>
      <w:r w:rsidRPr="007942BA">
        <w:rPr>
          <w:b/>
          <w:sz w:val="24"/>
          <w:szCs w:val="24"/>
        </w:rPr>
        <w:t>Methods</w:t>
      </w:r>
    </w:p>
    <w:p w:rsidR="00990D8D" w:rsidRDefault="00990D8D">
      <w:pPr>
        <w:rPr>
          <w:sz w:val="24"/>
          <w:szCs w:val="24"/>
        </w:rPr>
      </w:pPr>
      <w:r>
        <w:rPr>
          <w:sz w:val="24"/>
          <w:szCs w:val="24"/>
        </w:rPr>
        <w:t>The 24 countries were divided into four groups of six countries each. Group 1, Arabian Peninsula consisted of Bahrain, Kuwait, Oman, Qatar, Saudi Arabia, and the United Arab Emirates. Group 2, Arab North Africa, consisted of Algerian, Egypt, Mauritania, Morocco, Sudan, and Tunisia. Group 3</w:t>
      </w:r>
      <w:r w:rsidR="00F5601B">
        <w:rPr>
          <w:sz w:val="24"/>
          <w:szCs w:val="24"/>
        </w:rPr>
        <w:t>, non-Arab Middle East,</w:t>
      </w:r>
      <w:r>
        <w:rPr>
          <w:sz w:val="24"/>
          <w:szCs w:val="24"/>
        </w:rPr>
        <w:t xml:space="preserve"> consisted of Iran, Israel, Jordan, Lebanon, Syria, and Turkey. Group 4</w:t>
      </w:r>
      <w:r w:rsidR="00F5601B">
        <w:rPr>
          <w:sz w:val="24"/>
          <w:szCs w:val="24"/>
        </w:rPr>
        <w:t>, Mediterranean Europe,</w:t>
      </w:r>
      <w:r>
        <w:rPr>
          <w:sz w:val="24"/>
          <w:szCs w:val="24"/>
        </w:rPr>
        <w:t xml:space="preserve"> consisted of </w:t>
      </w:r>
      <w:r w:rsidR="007942BA">
        <w:rPr>
          <w:sz w:val="24"/>
          <w:szCs w:val="24"/>
        </w:rPr>
        <w:t>Cyprus, France, Greece, Italy, Portugal, and Spain.</w:t>
      </w:r>
    </w:p>
    <w:p w:rsidR="007942BA" w:rsidRDefault="007942BA">
      <w:pPr>
        <w:rPr>
          <w:sz w:val="24"/>
          <w:szCs w:val="24"/>
        </w:rPr>
      </w:pPr>
      <w:r>
        <w:rPr>
          <w:sz w:val="24"/>
          <w:szCs w:val="24"/>
        </w:rPr>
        <w:t xml:space="preserve">Infant mortality data was collected from </w:t>
      </w:r>
      <w:r w:rsidRPr="007942BA">
        <w:rPr>
          <w:sz w:val="24"/>
          <w:szCs w:val="24"/>
        </w:rPr>
        <w:t xml:space="preserve">the UN Inter-agency Group for Child Mortality Estimation (UNICEF, </w:t>
      </w:r>
      <w:r>
        <w:rPr>
          <w:sz w:val="24"/>
          <w:szCs w:val="24"/>
        </w:rPr>
        <w:t xml:space="preserve">WHO, World Bank, UN DESA, UNPD) 2011 paper </w:t>
      </w:r>
      <w:r w:rsidRPr="001C252B">
        <w:rPr>
          <w:i/>
          <w:sz w:val="24"/>
          <w:szCs w:val="24"/>
        </w:rPr>
        <w:t>Level &amp; Trends in Child Mortality</w:t>
      </w:r>
      <w:r>
        <w:rPr>
          <w:sz w:val="24"/>
          <w:szCs w:val="24"/>
        </w:rPr>
        <w:t>.</w:t>
      </w:r>
    </w:p>
    <w:p w:rsidR="007942BA" w:rsidRPr="007942BA" w:rsidRDefault="007942BA" w:rsidP="007942BA">
      <w:pPr>
        <w:rPr>
          <w:sz w:val="24"/>
          <w:szCs w:val="24"/>
        </w:rPr>
      </w:pPr>
      <w:r>
        <w:rPr>
          <w:sz w:val="24"/>
          <w:szCs w:val="24"/>
        </w:rPr>
        <w:t>GDP PPP data was collected from the Internation</w:t>
      </w:r>
      <w:r w:rsidR="001C252B">
        <w:rPr>
          <w:sz w:val="24"/>
          <w:szCs w:val="24"/>
        </w:rPr>
        <w:t>al</w:t>
      </w:r>
      <w:r>
        <w:rPr>
          <w:sz w:val="24"/>
          <w:szCs w:val="24"/>
        </w:rPr>
        <w:t xml:space="preserve"> Monetary Fund’s </w:t>
      </w:r>
      <w:r w:rsidRPr="007942BA">
        <w:rPr>
          <w:bCs/>
          <w:sz w:val="24"/>
          <w:szCs w:val="24"/>
        </w:rPr>
        <w:t>World Economic and Financial Surveys</w:t>
      </w:r>
      <w:r>
        <w:rPr>
          <w:bCs/>
          <w:sz w:val="24"/>
          <w:szCs w:val="24"/>
        </w:rPr>
        <w:t xml:space="preserve"> </w:t>
      </w:r>
      <w:r w:rsidRPr="007942BA">
        <w:rPr>
          <w:sz w:val="24"/>
          <w:szCs w:val="24"/>
        </w:rPr>
        <w:t>World Economic Outlook Database</w:t>
      </w:r>
      <w:r>
        <w:rPr>
          <w:bCs/>
          <w:sz w:val="24"/>
          <w:szCs w:val="24"/>
        </w:rPr>
        <w:t>.</w:t>
      </w:r>
    </w:p>
    <w:p w:rsidR="007942BA" w:rsidRDefault="007942BA" w:rsidP="007942BA">
      <w:pPr>
        <w:rPr>
          <w:bCs/>
          <w:sz w:val="24"/>
          <w:szCs w:val="24"/>
        </w:rPr>
      </w:pPr>
      <w:r>
        <w:rPr>
          <w:bCs/>
          <w:sz w:val="24"/>
          <w:szCs w:val="24"/>
        </w:rPr>
        <w:t>Microsoft Excel was used to find correlations between the 31 years of IMR and GDP PPP data.</w:t>
      </w:r>
    </w:p>
    <w:p w:rsidR="006559CA" w:rsidRDefault="007942BA">
      <w:pPr>
        <w:rPr>
          <w:bCs/>
          <w:sz w:val="24"/>
          <w:szCs w:val="24"/>
        </w:rPr>
      </w:pPr>
      <w:r>
        <w:rPr>
          <w:bCs/>
          <w:sz w:val="24"/>
          <w:szCs w:val="24"/>
        </w:rPr>
        <w:t>Microsoft Excel was used to perform multiple paired-sample t tests on the IMR data.</w:t>
      </w:r>
    </w:p>
    <w:p w:rsidR="001B54EA" w:rsidRDefault="001B54EA">
      <w:pPr>
        <w:rPr>
          <w:bCs/>
          <w:sz w:val="24"/>
          <w:szCs w:val="24"/>
        </w:rPr>
      </w:pPr>
    </w:p>
    <w:p w:rsidR="001B54EA" w:rsidRPr="001B54EA" w:rsidRDefault="001B54EA">
      <w:pPr>
        <w:rPr>
          <w:b/>
          <w:bCs/>
          <w:sz w:val="24"/>
          <w:szCs w:val="24"/>
        </w:rPr>
      </w:pPr>
      <w:r w:rsidRPr="001B54EA">
        <w:rPr>
          <w:b/>
          <w:bCs/>
          <w:sz w:val="24"/>
          <w:szCs w:val="24"/>
        </w:rPr>
        <w:t>Results</w:t>
      </w:r>
    </w:p>
    <w:tbl>
      <w:tblPr>
        <w:tblpPr w:leftFromText="180" w:rightFromText="180" w:vertAnchor="text" w:tblpY="1"/>
        <w:tblOverlap w:val="never"/>
        <w:tblW w:w="2880" w:type="dxa"/>
        <w:tblInd w:w="93" w:type="dxa"/>
        <w:tblLook w:val="04A0"/>
      </w:tblPr>
      <w:tblGrid>
        <w:gridCol w:w="1090"/>
        <w:gridCol w:w="1790"/>
      </w:tblGrid>
      <w:tr w:rsidR="001B54EA" w:rsidRPr="001C252B" w:rsidTr="0037336B">
        <w:trPr>
          <w:trHeight w:val="630"/>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54EA" w:rsidRPr="001C252B" w:rsidRDefault="001B54EA" w:rsidP="0037336B">
            <w:pPr>
              <w:spacing w:after="0" w:line="240" w:lineRule="auto"/>
              <w:jc w:val="center"/>
              <w:rPr>
                <w:rFonts w:ascii="Calibri" w:eastAsia="Times New Roman" w:hAnsi="Calibri" w:cs="Times New Roman"/>
                <w:b/>
                <w:bCs/>
                <w:color w:val="000000"/>
                <w:sz w:val="24"/>
                <w:szCs w:val="24"/>
              </w:rPr>
            </w:pPr>
            <w:r w:rsidRPr="001C252B">
              <w:rPr>
                <w:rFonts w:ascii="Calibri" w:eastAsia="Times New Roman" w:hAnsi="Calibri" w:cs="Times New Roman"/>
                <w:b/>
                <w:bCs/>
                <w:color w:val="000000"/>
                <w:sz w:val="24"/>
                <w:szCs w:val="24"/>
              </w:rPr>
              <w:t>NON-ARAB MIDDLE EAST</w:t>
            </w:r>
          </w:p>
        </w:tc>
      </w:tr>
      <w:tr w:rsidR="001B54EA" w:rsidRPr="001C252B" w:rsidTr="0037336B">
        <w:trPr>
          <w:trHeight w:val="315"/>
        </w:trPr>
        <w:tc>
          <w:tcPr>
            <w:tcW w:w="2880" w:type="dxa"/>
            <w:gridSpan w:val="2"/>
            <w:tcBorders>
              <w:top w:val="nil"/>
              <w:left w:val="single" w:sz="4" w:space="0" w:color="auto"/>
              <w:bottom w:val="nil"/>
              <w:right w:val="single" w:sz="4" w:space="0" w:color="000000"/>
            </w:tcBorders>
            <w:shd w:val="clear" w:color="auto" w:fill="auto"/>
            <w:noWrap/>
            <w:vAlign w:val="bottom"/>
            <w:hideMark/>
          </w:tcPr>
          <w:p w:rsidR="001B54EA" w:rsidRPr="001C252B" w:rsidRDefault="001B54EA" w:rsidP="0037336B">
            <w:pPr>
              <w:spacing w:after="0" w:line="240" w:lineRule="auto"/>
              <w:jc w:val="center"/>
              <w:rPr>
                <w:rFonts w:ascii="Calibri" w:eastAsia="Times New Roman" w:hAnsi="Calibri" w:cs="Times New Roman"/>
                <w:i/>
                <w:iCs/>
                <w:color w:val="000000"/>
                <w:sz w:val="24"/>
                <w:szCs w:val="24"/>
              </w:rPr>
            </w:pPr>
            <w:r w:rsidRPr="001C252B">
              <w:rPr>
                <w:rFonts w:ascii="Calibri" w:eastAsia="Times New Roman" w:hAnsi="Calibri" w:cs="Times New Roman"/>
                <w:i/>
                <w:iCs/>
                <w:color w:val="000000"/>
                <w:sz w:val="24"/>
                <w:szCs w:val="24"/>
              </w:rPr>
              <w:t>GDP PPP</w:t>
            </w:r>
          </w:p>
        </w:tc>
      </w:tr>
      <w:tr w:rsidR="001B54EA" w:rsidRPr="001C252B" w:rsidTr="0037336B">
        <w:trPr>
          <w:trHeight w:val="315"/>
        </w:trPr>
        <w:tc>
          <w:tcPr>
            <w:tcW w:w="1090" w:type="dxa"/>
            <w:tcBorders>
              <w:top w:val="nil"/>
              <w:left w:val="single" w:sz="4" w:space="0" w:color="auto"/>
              <w:bottom w:val="nil"/>
              <w:right w:val="nil"/>
            </w:tcBorders>
            <w:shd w:val="clear" w:color="auto" w:fill="auto"/>
            <w:noWrap/>
            <w:vAlign w:val="bottom"/>
            <w:hideMark/>
          </w:tcPr>
          <w:p w:rsidR="001B54EA" w:rsidRPr="001C252B" w:rsidRDefault="001B54EA" w:rsidP="0037336B">
            <w:pPr>
              <w:spacing w:after="0" w:line="240" w:lineRule="auto"/>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MEAN</w:t>
            </w:r>
          </w:p>
        </w:tc>
        <w:tc>
          <w:tcPr>
            <w:tcW w:w="1790" w:type="dxa"/>
            <w:tcBorders>
              <w:top w:val="nil"/>
              <w:left w:val="nil"/>
              <w:bottom w:val="nil"/>
              <w:right w:val="single" w:sz="4" w:space="0" w:color="auto"/>
            </w:tcBorders>
            <w:shd w:val="clear" w:color="auto" w:fill="auto"/>
            <w:noWrap/>
            <w:vAlign w:val="bottom"/>
            <w:hideMark/>
          </w:tcPr>
          <w:p w:rsidR="001B54EA" w:rsidRPr="001C252B" w:rsidRDefault="001B54EA" w:rsidP="0037336B">
            <w:pPr>
              <w:spacing w:after="0" w:line="240" w:lineRule="auto"/>
              <w:jc w:val="right"/>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7559.801823</w:t>
            </w:r>
          </w:p>
        </w:tc>
      </w:tr>
      <w:tr w:rsidR="001B54EA" w:rsidRPr="001C252B" w:rsidTr="0037336B">
        <w:trPr>
          <w:trHeight w:val="315"/>
        </w:trPr>
        <w:tc>
          <w:tcPr>
            <w:tcW w:w="1090" w:type="dxa"/>
            <w:tcBorders>
              <w:top w:val="nil"/>
              <w:left w:val="single" w:sz="4" w:space="0" w:color="auto"/>
              <w:bottom w:val="single" w:sz="4" w:space="0" w:color="auto"/>
              <w:right w:val="nil"/>
            </w:tcBorders>
            <w:shd w:val="clear" w:color="auto" w:fill="auto"/>
            <w:noWrap/>
            <w:vAlign w:val="bottom"/>
            <w:hideMark/>
          </w:tcPr>
          <w:p w:rsidR="001B54EA" w:rsidRPr="001C252B" w:rsidRDefault="001B54EA" w:rsidP="0037336B">
            <w:pPr>
              <w:spacing w:after="0" w:line="240" w:lineRule="auto"/>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STDV</w:t>
            </w:r>
          </w:p>
        </w:tc>
        <w:tc>
          <w:tcPr>
            <w:tcW w:w="1790" w:type="dxa"/>
            <w:tcBorders>
              <w:top w:val="nil"/>
              <w:left w:val="nil"/>
              <w:bottom w:val="single" w:sz="4" w:space="0" w:color="auto"/>
              <w:right w:val="single" w:sz="4" w:space="0" w:color="auto"/>
            </w:tcBorders>
            <w:shd w:val="clear" w:color="auto" w:fill="auto"/>
            <w:noWrap/>
            <w:vAlign w:val="bottom"/>
            <w:hideMark/>
          </w:tcPr>
          <w:p w:rsidR="001B54EA" w:rsidRPr="001C252B" w:rsidRDefault="001B54EA" w:rsidP="0037336B">
            <w:pPr>
              <w:spacing w:after="0" w:line="240" w:lineRule="auto"/>
              <w:jc w:val="right"/>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5864.170785</w:t>
            </w:r>
          </w:p>
        </w:tc>
      </w:tr>
      <w:tr w:rsidR="001B54EA" w:rsidRPr="001C252B" w:rsidTr="0037336B">
        <w:trPr>
          <w:trHeight w:val="315"/>
        </w:trPr>
        <w:tc>
          <w:tcPr>
            <w:tcW w:w="2880" w:type="dxa"/>
            <w:gridSpan w:val="2"/>
            <w:tcBorders>
              <w:top w:val="nil"/>
              <w:left w:val="single" w:sz="4" w:space="0" w:color="auto"/>
              <w:bottom w:val="nil"/>
              <w:right w:val="single" w:sz="4" w:space="0" w:color="000000"/>
            </w:tcBorders>
            <w:shd w:val="clear" w:color="auto" w:fill="auto"/>
            <w:noWrap/>
            <w:vAlign w:val="bottom"/>
            <w:hideMark/>
          </w:tcPr>
          <w:p w:rsidR="001B54EA" w:rsidRPr="001C252B" w:rsidRDefault="001B54EA" w:rsidP="0037336B">
            <w:pPr>
              <w:spacing w:after="0" w:line="240" w:lineRule="auto"/>
              <w:rPr>
                <w:rFonts w:ascii="Calibri" w:eastAsia="Times New Roman" w:hAnsi="Calibri" w:cs="Times New Roman"/>
                <w:i/>
                <w:iCs/>
                <w:color w:val="000000"/>
                <w:sz w:val="24"/>
                <w:szCs w:val="24"/>
              </w:rPr>
            </w:pPr>
            <w:r w:rsidRPr="001C252B">
              <w:rPr>
                <w:rFonts w:ascii="Calibri" w:eastAsia="Times New Roman" w:hAnsi="Calibri" w:cs="Times New Roman"/>
                <w:i/>
                <w:iCs/>
                <w:color w:val="000000"/>
                <w:sz w:val="24"/>
                <w:szCs w:val="24"/>
              </w:rPr>
              <w:t>INFANT-MORTALITY RATE</w:t>
            </w:r>
          </w:p>
        </w:tc>
      </w:tr>
      <w:tr w:rsidR="001B54EA" w:rsidRPr="001C252B" w:rsidTr="0037336B">
        <w:trPr>
          <w:trHeight w:val="315"/>
        </w:trPr>
        <w:tc>
          <w:tcPr>
            <w:tcW w:w="1090" w:type="dxa"/>
            <w:tcBorders>
              <w:top w:val="nil"/>
              <w:left w:val="single" w:sz="4" w:space="0" w:color="auto"/>
              <w:bottom w:val="nil"/>
              <w:right w:val="nil"/>
            </w:tcBorders>
            <w:shd w:val="clear" w:color="auto" w:fill="auto"/>
            <w:noWrap/>
            <w:vAlign w:val="bottom"/>
            <w:hideMark/>
          </w:tcPr>
          <w:p w:rsidR="001B54EA" w:rsidRPr="001C252B" w:rsidRDefault="001B54EA" w:rsidP="0037336B">
            <w:pPr>
              <w:spacing w:after="0" w:line="240" w:lineRule="auto"/>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MEAN</w:t>
            </w:r>
          </w:p>
        </w:tc>
        <w:tc>
          <w:tcPr>
            <w:tcW w:w="1790" w:type="dxa"/>
            <w:tcBorders>
              <w:top w:val="nil"/>
              <w:left w:val="nil"/>
              <w:bottom w:val="nil"/>
              <w:right w:val="single" w:sz="4" w:space="0" w:color="auto"/>
            </w:tcBorders>
            <w:shd w:val="clear" w:color="auto" w:fill="auto"/>
            <w:noWrap/>
            <w:vAlign w:val="bottom"/>
            <w:hideMark/>
          </w:tcPr>
          <w:p w:rsidR="001B54EA" w:rsidRPr="001C252B" w:rsidRDefault="001B54EA" w:rsidP="0037336B">
            <w:pPr>
              <w:spacing w:after="0" w:line="240" w:lineRule="auto"/>
              <w:jc w:val="right"/>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31.61075269</w:t>
            </w:r>
          </w:p>
        </w:tc>
      </w:tr>
      <w:tr w:rsidR="001B54EA" w:rsidRPr="001C252B" w:rsidTr="0037336B">
        <w:trPr>
          <w:trHeight w:val="315"/>
        </w:trPr>
        <w:tc>
          <w:tcPr>
            <w:tcW w:w="1090" w:type="dxa"/>
            <w:tcBorders>
              <w:top w:val="nil"/>
              <w:left w:val="single" w:sz="4" w:space="0" w:color="auto"/>
              <w:bottom w:val="single" w:sz="4" w:space="0" w:color="auto"/>
              <w:right w:val="nil"/>
            </w:tcBorders>
            <w:shd w:val="clear" w:color="auto" w:fill="auto"/>
            <w:noWrap/>
            <w:vAlign w:val="bottom"/>
            <w:hideMark/>
          </w:tcPr>
          <w:p w:rsidR="001B54EA" w:rsidRPr="001C252B" w:rsidRDefault="001B54EA" w:rsidP="0037336B">
            <w:pPr>
              <w:spacing w:after="0" w:line="240" w:lineRule="auto"/>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STDV</w:t>
            </w:r>
          </w:p>
        </w:tc>
        <w:tc>
          <w:tcPr>
            <w:tcW w:w="1790" w:type="dxa"/>
            <w:tcBorders>
              <w:top w:val="nil"/>
              <w:left w:val="nil"/>
              <w:bottom w:val="single" w:sz="4" w:space="0" w:color="auto"/>
              <w:right w:val="single" w:sz="4" w:space="0" w:color="auto"/>
            </w:tcBorders>
            <w:shd w:val="clear" w:color="auto" w:fill="auto"/>
            <w:noWrap/>
            <w:vAlign w:val="bottom"/>
            <w:hideMark/>
          </w:tcPr>
          <w:p w:rsidR="001B54EA" w:rsidRPr="001C252B" w:rsidRDefault="001B54EA" w:rsidP="0037336B">
            <w:pPr>
              <w:spacing w:after="0" w:line="240" w:lineRule="auto"/>
              <w:jc w:val="right"/>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20.09330378</w:t>
            </w:r>
          </w:p>
        </w:tc>
      </w:tr>
      <w:tr w:rsidR="001B54EA" w:rsidRPr="001C252B" w:rsidTr="0037336B">
        <w:trPr>
          <w:trHeight w:val="315"/>
        </w:trPr>
        <w:tc>
          <w:tcPr>
            <w:tcW w:w="1090" w:type="dxa"/>
            <w:tcBorders>
              <w:top w:val="nil"/>
              <w:left w:val="single" w:sz="4" w:space="0" w:color="auto"/>
              <w:bottom w:val="single" w:sz="4" w:space="0" w:color="auto"/>
              <w:right w:val="nil"/>
            </w:tcBorders>
            <w:shd w:val="clear" w:color="auto" w:fill="auto"/>
            <w:noWrap/>
            <w:vAlign w:val="bottom"/>
            <w:hideMark/>
          </w:tcPr>
          <w:p w:rsidR="001B54EA" w:rsidRPr="001C252B" w:rsidRDefault="001B54EA" w:rsidP="0037336B">
            <w:pPr>
              <w:spacing w:after="0" w:line="240" w:lineRule="auto"/>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CORREL</w:t>
            </w:r>
          </w:p>
        </w:tc>
        <w:tc>
          <w:tcPr>
            <w:tcW w:w="1790" w:type="dxa"/>
            <w:tcBorders>
              <w:top w:val="nil"/>
              <w:left w:val="nil"/>
              <w:bottom w:val="single" w:sz="4" w:space="0" w:color="auto"/>
              <w:right w:val="single" w:sz="4" w:space="0" w:color="auto"/>
            </w:tcBorders>
            <w:shd w:val="clear" w:color="auto" w:fill="auto"/>
            <w:noWrap/>
            <w:vAlign w:val="bottom"/>
            <w:hideMark/>
          </w:tcPr>
          <w:p w:rsidR="001B54EA" w:rsidRPr="001C252B" w:rsidRDefault="001B54EA" w:rsidP="0037336B">
            <w:pPr>
              <w:spacing w:after="0" w:line="240" w:lineRule="auto"/>
              <w:jc w:val="right"/>
              <w:rPr>
                <w:rFonts w:ascii="Calibri" w:eastAsia="Times New Roman" w:hAnsi="Calibri" w:cs="Times New Roman"/>
                <w:color w:val="000000"/>
                <w:sz w:val="24"/>
                <w:szCs w:val="24"/>
              </w:rPr>
            </w:pPr>
            <w:r w:rsidRPr="001C252B">
              <w:rPr>
                <w:rFonts w:ascii="Calibri" w:eastAsia="Times New Roman" w:hAnsi="Calibri" w:cs="Times New Roman"/>
                <w:color w:val="000000"/>
                <w:sz w:val="24"/>
                <w:szCs w:val="24"/>
              </w:rPr>
              <w:t>-0.56548131</w:t>
            </w:r>
          </w:p>
        </w:tc>
      </w:tr>
    </w:tbl>
    <w:p w:rsidR="001B54EA" w:rsidRPr="001B54EA" w:rsidRDefault="001B54EA">
      <w:pPr>
        <w:rPr>
          <w:rFonts w:ascii="Calibri" w:eastAsia="Times New Roman" w:hAnsi="Calibri" w:cs="Times New Roman"/>
          <w:i/>
          <w:color w:val="000000"/>
          <w:sz w:val="24"/>
          <w:szCs w:val="24"/>
        </w:rPr>
      </w:pPr>
      <w:r>
        <w:rPr>
          <w:rFonts w:ascii="Calibri" w:eastAsia="Times New Roman" w:hAnsi="Calibri" w:cs="Times New Roman"/>
          <w:color w:val="000000"/>
          <w:sz w:val="24"/>
          <w:szCs w:val="24"/>
        </w:rPr>
        <w:br w:type="textWrapping" w:clear="all"/>
      </w:r>
      <w:proofErr w:type="gramStart"/>
      <w:r w:rsidRPr="006559CA">
        <w:rPr>
          <w:rFonts w:ascii="Calibri" w:eastAsia="Times New Roman" w:hAnsi="Calibri" w:cs="Times New Roman"/>
          <w:i/>
          <w:color w:val="000000"/>
          <w:sz w:val="24"/>
          <w:szCs w:val="24"/>
        </w:rPr>
        <w:t>Figure 1.</w:t>
      </w:r>
      <w:proofErr w:type="gramEnd"/>
      <w:r w:rsidRPr="006559CA">
        <w:rPr>
          <w:rFonts w:ascii="Calibri" w:eastAsia="Times New Roman" w:hAnsi="Calibri" w:cs="Times New Roman"/>
          <w:i/>
          <w:color w:val="000000"/>
          <w:sz w:val="24"/>
          <w:szCs w:val="24"/>
        </w:rPr>
        <w:t xml:space="preserve"> </w:t>
      </w:r>
      <w:proofErr w:type="gramStart"/>
      <w:r w:rsidRPr="006559CA">
        <w:rPr>
          <w:rFonts w:ascii="Calibri" w:eastAsia="Times New Roman" w:hAnsi="Calibri" w:cs="Times New Roman"/>
          <w:i/>
          <w:color w:val="000000"/>
          <w:sz w:val="24"/>
          <w:szCs w:val="24"/>
        </w:rPr>
        <w:t>Correlation between IMR and GDP PPP (1980 – 2010) in non-Arab Middle East.</w:t>
      </w:r>
      <w:proofErr w:type="gramEnd"/>
    </w:p>
    <w:p w:rsidR="006559CA" w:rsidRPr="00FF7452" w:rsidRDefault="001B54EA">
      <w:pPr>
        <w:rPr>
          <w:b/>
          <w:sz w:val="24"/>
          <w:szCs w:val="24"/>
        </w:rPr>
      </w:pPr>
      <w:r w:rsidRPr="001B54EA">
        <w:rPr>
          <w:noProof/>
          <w:lang w:eastAsia="zh-CN"/>
        </w:rPr>
        <w:lastRenderedPageBreak/>
        <w:drawing>
          <wp:inline distT="0" distB="0" distL="0" distR="0">
            <wp:extent cx="5943600" cy="6886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886460"/>
                    </a:xfrm>
                    <a:prstGeom prst="rect">
                      <a:avLst/>
                    </a:prstGeom>
                    <a:noFill/>
                    <a:ln>
                      <a:noFill/>
                    </a:ln>
                  </pic:spPr>
                </pic:pic>
              </a:graphicData>
            </a:graphic>
          </wp:inline>
        </w:drawing>
      </w:r>
    </w:p>
    <w:p w:rsidR="006559CA" w:rsidRPr="006559CA" w:rsidRDefault="006559CA" w:rsidP="00FF7452">
      <w:pPr>
        <w:rPr>
          <w:i/>
          <w:sz w:val="24"/>
          <w:szCs w:val="24"/>
        </w:rPr>
      </w:pPr>
      <w:proofErr w:type="gramStart"/>
      <w:r w:rsidRPr="006559CA">
        <w:rPr>
          <w:rFonts w:ascii="Calibri" w:eastAsia="Times New Roman" w:hAnsi="Calibri" w:cs="Times New Roman"/>
          <w:i/>
          <w:color w:val="000000"/>
          <w:sz w:val="24"/>
          <w:szCs w:val="24"/>
        </w:rPr>
        <w:t>Table 1.</w:t>
      </w:r>
      <w:proofErr w:type="gramEnd"/>
      <w:r w:rsidRPr="006559CA">
        <w:rPr>
          <w:rFonts w:ascii="Calibri" w:eastAsia="Times New Roman" w:hAnsi="Calibri" w:cs="Times New Roman"/>
          <w:i/>
          <w:color w:val="000000"/>
          <w:sz w:val="24"/>
          <w:szCs w:val="24"/>
        </w:rPr>
        <w:t xml:space="preserve"> </w:t>
      </w:r>
      <w:proofErr w:type="gramStart"/>
      <w:r w:rsidRPr="006559CA">
        <w:rPr>
          <w:rFonts w:ascii="Calibri" w:eastAsia="Times New Roman" w:hAnsi="Calibri" w:cs="Times New Roman"/>
          <w:i/>
          <w:color w:val="000000"/>
          <w:sz w:val="24"/>
          <w:szCs w:val="24"/>
        </w:rPr>
        <w:t>IMR and GDP PPP for the three decades (1980 – 2010) in non-Arab Middle East.</w:t>
      </w:r>
      <w:proofErr w:type="gramEnd"/>
    </w:p>
    <w:p w:rsidR="00880973" w:rsidRDefault="00880973" w:rsidP="00612FA3">
      <w:pPr>
        <w:rPr>
          <w:rFonts w:ascii="Calibri" w:eastAsia="Times New Roman" w:hAnsi="Calibri" w:cs="Times New Roman"/>
          <w:color w:val="000000"/>
          <w:sz w:val="24"/>
          <w:szCs w:val="24"/>
        </w:rPr>
      </w:pPr>
    </w:p>
    <w:p w:rsidR="004E1FC9" w:rsidRDefault="004E1FC9" w:rsidP="00612FA3">
      <w:pPr>
        <w:rPr>
          <w:rFonts w:ascii="Calibri" w:eastAsia="Times New Roman" w:hAnsi="Calibri" w:cs="Times New Roman"/>
          <w:color w:val="000000"/>
          <w:sz w:val="24"/>
          <w:szCs w:val="24"/>
        </w:rPr>
      </w:pPr>
      <w:r>
        <w:rPr>
          <w:noProof/>
          <w:lang w:eastAsia="zh-CN"/>
        </w:rPr>
        <w:lastRenderedPageBreak/>
        <w:drawing>
          <wp:inline distT="0" distB="0" distL="0" distR="0">
            <wp:extent cx="5943600" cy="3189605"/>
            <wp:effectExtent l="0" t="0" r="1905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36444" w:rsidRPr="001B54EA" w:rsidRDefault="00880973">
      <w:pPr>
        <w:rPr>
          <w:rFonts w:ascii="Calibri" w:eastAsia="Times New Roman" w:hAnsi="Calibri" w:cs="Times New Roman"/>
          <w:i/>
          <w:color w:val="000000"/>
          <w:sz w:val="24"/>
          <w:szCs w:val="24"/>
        </w:rPr>
      </w:pPr>
      <w:proofErr w:type="gramStart"/>
      <w:r w:rsidRPr="001B54EA">
        <w:rPr>
          <w:rFonts w:ascii="Calibri" w:eastAsia="Times New Roman" w:hAnsi="Calibri" w:cs="Times New Roman"/>
          <w:i/>
          <w:color w:val="000000"/>
          <w:sz w:val="24"/>
          <w:szCs w:val="24"/>
        </w:rPr>
        <w:t>Figure 2</w:t>
      </w:r>
      <w:r w:rsidR="004E1FC9" w:rsidRPr="001B54EA">
        <w:rPr>
          <w:rFonts w:ascii="Calibri" w:eastAsia="Times New Roman" w:hAnsi="Calibri" w:cs="Times New Roman"/>
          <w:i/>
          <w:color w:val="000000"/>
          <w:sz w:val="24"/>
          <w:szCs w:val="24"/>
        </w:rPr>
        <w:t>.</w:t>
      </w:r>
      <w:proofErr w:type="gramEnd"/>
      <w:r w:rsidR="004E1FC9" w:rsidRPr="001B54EA">
        <w:rPr>
          <w:rFonts w:ascii="Calibri" w:eastAsia="Times New Roman" w:hAnsi="Calibri" w:cs="Times New Roman"/>
          <w:i/>
          <w:color w:val="000000"/>
          <w:sz w:val="24"/>
          <w:szCs w:val="24"/>
        </w:rPr>
        <w:t xml:space="preserve"> </w:t>
      </w:r>
      <w:proofErr w:type="gramStart"/>
      <w:r w:rsidRPr="001B54EA">
        <w:rPr>
          <w:rFonts w:ascii="Calibri" w:eastAsia="Times New Roman" w:hAnsi="Calibri" w:cs="Times New Roman"/>
          <w:i/>
          <w:color w:val="000000"/>
          <w:sz w:val="24"/>
          <w:szCs w:val="24"/>
        </w:rPr>
        <w:t>Linear regression</w:t>
      </w:r>
      <w:r w:rsidR="004E1FC9" w:rsidRPr="001B54EA">
        <w:rPr>
          <w:rFonts w:ascii="Calibri" w:eastAsia="Times New Roman" w:hAnsi="Calibri" w:cs="Times New Roman"/>
          <w:i/>
          <w:color w:val="000000"/>
          <w:sz w:val="24"/>
          <w:szCs w:val="24"/>
        </w:rPr>
        <w:t xml:space="preserve"> between IMR and GDP PPP (1980 – 2010) in non-Arab Middle East.</w:t>
      </w:r>
      <w:proofErr w:type="gramEnd"/>
    </w:p>
    <w:p w:rsidR="001B54EA" w:rsidRDefault="001B54EA" w:rsidP="006559CA">
      <w:pPr>
        <w:rPr>
          <w:sz w:val="24"/>
          <w:szCs w:val="24"/>
        </w:rPr>
      </w:pPr>
    </w:p>
    <w:p w:rsidR="006559CA" w:rsidRDefault="006559CA" w:rsidP="006559CA">
      <w:pPr>
        <w:rPr>
          <w:sz w:val="24"/>
          <w:szCs w:val="24"/>
        </w:rPr>
      </w:pPr>
      <w:r>
        <w:rPr>
          <w:sz w:val="24"/>
          <w:szCs w:val="24"/>
        </w:rPr>
        <w:t xml:space="preserve">The overall correlation for the 24 countries studied was </w:t>
      </w:r>
      <w:r w:rsidRPr="00FF7452">
        <w:rPr>
          <w:sz w:val="24"/>
          <w:szCs w:val="24"/>
        </w:rPr>
        <w:t>-0.595626</w:t>
      </w:r>
      <w:r>
        <w:rPr>
          <w:sz w:val="24"/>
          <w:szCs w:val="24"/>
        </w:rPr>
        <w:t>.</w:t>
      </w:r>
    </w:p>
    <w:p w:rsidR="006559CA" w:rsidRDefault="006559CA" w:rsidP="006559CA">
      <w:pPr>
        <w:rPr>
          <w:sz w:val="24"/>
          <w:szCs w:val="24"/>
        </w:rPr>
      </w:pPr>
      <w:r>
        <w:rPr>
          <w:sz w:val="24"/>
          <w:szCs w:val="24"/>
        </w:rPr>
        <w:t xml:space="preserve">The correlation for the Arabian Peninsula countries was </w:t>
      </w:r>
      <w:r w:rsidRPr="00FF7452">
        <w:rPr>
          <w:sz w:val="24"/>
          <w:szCs w:val="24"/>
        </w:rPr>
        <w:t>-0.51530811</w:t>
      </w:r>
      <w:r>
        <w:rPr>
          <w:sz w:val="24"/>
          <w:szCs w:val="24"/>
        </w:rPr>
        <w:t>.</w:t>
      </w:r>
    </w:p>
    <w:p w:rsidR="006559CA" w:rsidRPr="00F5601B" w:rsidRDefault="006559CA" w:rsidP="006559CA">
      <w:pPr>
        <w:rPr>
          <w:sz w:val="24"/>
          <w:szCs w:val="24"/>
        </w:rPr>
      </w:pPr>
      <w:r>
        <w:rPr>
          <w:sz w:val="24"/>
          <w:szCs w:val="24"/>
        </w:rPr>
        <w:t xml:space="preserve">The correlation for the Arab North Africa countries was </w:t>
      </w:r>
      <w:r w:rsidRPr="00F5601B">
        <w:rPr>
          <w:sz w:val="24"/>
          <w:szCs w:val="24"/>
        </w:rPr>
        <w:t>-0.88129822</w:t>
      </w:r>
      <w:r>
        <w:rPr>
          <w:sz w:val="24"/>
          <w:szCs w:val="24"/>
        </w:rPr>
        <w:t>.</w:t>
      </w:r>
    </w:p>
    <w:p w:rsidR="006559CA" w:rsidRDefault="006559CA" w:rsidP="006559CA">
      <w:pPr>
        <w:rPr>
          <w:sz w:val="24"/>
          <w:szCs w:val="24"/>
        </w:rPr>
      </w:pPr>
      <w:r>
        <w:rPr>
          <w:sz w:val="24"/>
          <w:szCs w:val="24"/>
        </w:rPr>
        <w:t xml:space="preserve">The correlation for the non-Arab Middle East countries was </w:t>
      </w:r>
      <w:r w:rsidRPr="00612FA3">
        <w:rPr>
          <w:sz w:val="24"/>
          <w:szCs w:val="24"/>
        </w:rPr>
        <w:t>-0.56548131</w:t>
      </w:r>
      <w:r>
        <w:rPr>
          <w:sz w:val="24"/>
          <w:szCs w:val="24"/>
        </w:rPr>
        <w:t>.</w:t>
      </w:r>
    </w:p>
    <w:p w:rsidR="006559CA" w:rsidRDefault="006559CA" w:rsidP="006559CA">
      <w:pPr>
        <w:rPr>
          <w:rFonts w:ascii="Calibri" w:eastAsia="Times New Roman" w:hAnsi="Calibri" w:cs="Times New Roman"/>
          <w:color w:val="000000"/>
          <w:sz w:val="24"/>
          <w:szCs w:val="24"/>
        </w:rPr>
      </w:pPr>
      <w:r>
        <w:rPr>
          <w:sz w:val="24"/>
          <w:szCs w:val="24"/>
        </w:rPr>
        <w:t xml:space="preserve">The correlation for the Mediterranean Europe countries was </w:t>
      </w:r>
      <w:r w:rsidRPr="00612FA3">
        <w:rPr>
          <w:rFonts w:ascii="Calibri" w:eastAsia="Times New Roman" w:hAnsi="Calibri" w:cs="Times New Roman"/>
          <w:color w:val="000000"/>
          <w:sz w:val="24"/>
          <w:szCs w:val="24"/>
        </w:rPr>
        <w:t>-0.87596741</w:t>
      </w:r>
      <w:r>
        <w:rPr>
          <w:rFonts w:ascii="Calibri" w:eastAsia="Times New Roman" w:hAnsi="Calibri" w:cs="Times New Roman"/>
          <w:color w:val="000000"/>
          <w:sz w:val="24"/>
          <w:szCs w:val="24"/>
        </w:rPr>
        <w:t>.</w:t>
      </w:r>
    </w:p>
    <w:p w:rsidR="00880973" w:rsidRPr="001B54EA" w:rsidRDefault="00236074">
      <w:pPr>
        <w:rPr>
          <w:sz w:val="24"/>
          <w:szCs w:val="24"/>
        </w:rPr>
      </w:pPr>
      <w:r>
        <w:rPr>
          <w:rFonts w:ascii="Calibri" w:eastAsia="Times New Roman" w:hAnsi="Calibri" w:cs="Times New Roman"/>
          <w:color w:val="000000"/>
          <w:sz w:val="24"/>
          <w:szCs w:val="24"/>
        </w:rPr>
        <w:t>All</w:t>
      </w:r>
      <w:r w:rsidR="007C6036">
        <w:rPr>
          <w:rFonts w:ascii="Calibri" w:eastAsia="Times New Roman" w:hAnsi="Calibri" w:cs="Times New Roman"/>
          <w:color w:val="000000"/>
          <w:sz w:val="24"/>
          <w:szCs w:val="24"/>
        </w:rPr>
        <w:t xml:space="preserve"> of the</w:t>
      </w:r>
      <w:r>
        <w:rPr>
          <w:rFonts w:ascii="Calibri" w:eastAsia="Times New Roman" w:hAnsi="Calibri" w:cs="Times New Roman"/>
          <w:color w:val="000000"/>
          <w:sz w:val="24"/>
          <w:szCs w:val="24"/>
        </w:rPr>
        <w:t xml:space="preserve"> groups have a negative correlation between IMR and GDP PPP, suggesting that as the economy improves the health of the population also improves. The correlation coefficient for the Arabian Peninsula and the non-Arab Middle East were considerably weaker than the other two subgroups, and somewhat weaker than for the </w:t>
      </w:r>
      <w:r w:rsidRPr="00236074">
        <w:rPr>
          <w:rFonts w:ascii="Calibri" w:eastAsia="Times New Roman" w:hAnsi="Calibri" w:cs="Times New Roman"/>
          <w:i/>
          <w:color w:val="000000"/>
          <w:sz w:val="24"/>
          <w:szCs w:val="24"/>
        </w:rPr>
        <w:t>super</w:t>
      </w:r>
      <w:r>
        <w:rPr>
          <w:rFonts w:ascii="Calibri" w:eastAsia="Times New Roman" w:hAnsi="Calibri" w:cs="Times New Roman"/>
          <w:color w:val="000000"/>
          <w:sz w:val="24"/>
          <w:szCs w:val="24"/>
        </w:rPr>
        <w:t>group of 24 countries. With absolute values of 0.5153 and 0.5655 their correlations are moderate at best, suggesting that the improvement in health that can be expected with an improvement in economy was not quite as noticeable in the Arabian Peninsula and non-Arab Middle East countries, as compare</w:t>
      </w:r>
      <w:r w:rsidR="007C6036">
        <w:rPr>
          <w:rFonts w:ascii="Calibri" w:eastAsia="Times New Roman" w:hAnsi="Calibri" w:cs="Times New Roman"/>
          <w:color w:val="000000"/>
          <w:sz w:val="24"/>
          <w:szCs w:val="24"/>
        </w:rPr>
        <w:t>d</w:t>
      </w:r>
      <w:bookmarkStart w:id="0" w:name="_GoBack"/>
      <w:bookmarkEnd w:id="0"/>
      <w:r>
        <w:rPr>
          <w:rFonts w:ascii="Calibri" w:eastAsia="Times New Roman" w:hAnsi="Calibri" w:cs="Times New Roman"/>
          <w:color w:val="000000"/>
          <w:sz w:val="24"/>
          <w:szCs w:val="24"/>
        </w:rPr>
        <w:t xml:space="preserve"> to the </w:t>
      </w:r>
      <w:r w:rsidR="001F2E26">
        <w:rPr>
          <w:rFonts w:ascii="Calibri" w:eastAsia="Times New Roman" w:hAnsi="Calibri" w:cs="Times New Roman"/>
          <w:color w:val="000000"/>
          <w:sz w:val="24"/>
          <w:szCs w:val="24"/>
        </w:rPr>
        <w:t>Arab North Africa and Mediterranean Europe countries.</w:t>
      </w:r>
      <w:r>
        <w:rPr>
          <w:sz w:val="24"/>
          <w:szCs w:val="24"/>
        </w:rPr>
        <w:t xml:space="preserve"> </w:t>
      </w:r>
      <w:r w:rsidR="006559CA">
        <w:rPr>
          <w:sz w:val="24"/>
          <w:szCs w:val="24"/>
        </w:rPr>
        <w:br w:type="page"/>
      </w:r>
    </w:p>
    <w:tbl>
      <w:tblPr>
        <w:tblW w:w="5040" w:type="dxa"/>
        <w:tblInd w:w="93" w:type="dxa"/>
        <w:tblLook w:val="04A0"/>
      </w:tblPr>
      <w:tblGrid>
        <w:gridCol w:w="1554"/>
        <w:gridCol w:w="910"/>
        <w:gridCol w:w="814"/>
        <w:gridCol w:w="271"/>
        <w:gridCol w:w="814"/>
        <w:gridCol w:w="814"/>
      </w:tblGrid>
      <w:tr w:rsidR="00880973" w:rsidRPr="00880973" w:rsidTr="00880973">
        <w:trPr>
          <w:trHeight w:val="525"/>
        </w:trPr>
        <w:tc>
          <w:tcPr>
            <w:tcW w:w="50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973" w:rsidRPr="00880973" w:rsidRDefault="00880973" w:rsidP="00880973">
            <w:pPr>
              <w:spacing w:after="0" w:line="240" w:lineRule="auto"/>
              <w:jc w:val="center"/>
              <w:rPr>
                <w:rFonts w:ascii="Calibri" w:eastAsia="Times New Roman" w:hAnsi="Calibri" w:cs="Times New Roman"/>
                <w:color w:val="000000"/>
                <w:sz w:val="40"/>
                <w:szCs w:val="40"/>
              </w:rPr>
            </w:pPr>
            <w:r w:rsidRPr="00880973">
              <w:rPr>
                <w:rFonts w:ascii="Calibri" w:eastAsia="Times New Roman" w:hAnsi="Calibri" w:cs="Times New Roman"/>
                <w:color w:val="000000"/>
                <w:sz w:val="40"/>
                <w:szCs w:val="40"/>
              </w:rPr>
              <w:lastRenderedPageBreak/>
              <w:t>NON-ARAB MIDDLE EAST</w:t>
            </w:r>
          </w:p>
        </w:tc>
      </w:tr>
      <w:tr w:rsidR="00880973" w:rsidRPr="00880973" w:rsidTr="00880973">
        <w:trPr>
          <w:trHeight w:val="315"/>
        </w:trPr>
        <w:tc>
          <w:tcPr>
            <w:tcW w:w="1554" w:type="dxa"/>
            <w:tcBorders>
              <w:top w:val="nil"/>
              <w:left w:val="single" w:sz="4" w:space="0" w:color="auto"/>
              <w:bottom w:val="single" w:sz="4" w:space="0" w:color="auto"/>
              <w:right w:val="single" w:sz="4" w:space="0" w:color="auto"/>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 </w:t>
            </w:r>
          </w:p>
        </w:tc>
        <w:tc>
          <w:tcPr>
            <w:tcW w:w="910" w:type="dxa"/>
            <w:tcBorders>
              <w:top w:val="nil"/>
              <w:left w:val="nil"/>
              <w:bottom w:val="single" w:sz="4" w:space="0" w:color="auto"/>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1980</w:t>
            </w:r>
          </w:p>
        </w:tc>
        <w:tc>
          <w:tcPr>
            <w:tcW w:w="814" w:type="dxa"/>
            <w:tcBorders>
              <w:top w:val="nil"/>
              <w:left w:val="nil"/>
              <w:bottom w:val="single" w:sz="4" w:space="0" w:color="auto"/>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2010</w:t>
            </w:r>
          </w:p>
        </w:tc>
        <w:tc>
          <w:tcPr>
            <w:tcW w:w="134" w:type="dxa"/>
            <w:tcBorders>
              <w:top w:val="nil"/>
              <w:left w:val="nil"/>
              <w:bottom w:val="single" w:sz="4" w:space="0" w:color="auto"/>
              <w:right w:val="nil"/>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 </w:t>
            </w:r>
          </w:p>
        </w:tc>
        <w:tc>
          <w:tcPr>
            <w:tcW w:w="814" w:type="dxa"/>
            <w:tcBorders>
              <w:top w:val="nil"/>
              <w:left w:val="single" w:sz="4" w:space="0" w:color="auto"/>
              <w:bottom w:val="single" w:sz="4" w:space="0" w:color="auto"/>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2000</w:t>
            </w:r>
          </w:p>
        </w:tc>
        <w:tc>
          <w:tcPr>
            <w:tcW w:w="814" w:type="dxa"/>
            <w:tcBorders>
              <w:top w:val="nil"/>
              <w:left w:val="nil"/>
              <w:bottom w:val="single" w:sz="4" w:space="0" w:color="auto"/>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2010</w:t>
            </w:r>
          </w:p>
        </w:tc>
      </w:tr>
      <w:tr w:rsidR="00880973" w:rsidRPr="00880973" w:rsidTr="00880973">
        <w:trPr>
          <w:trHeight w:val="315"/>
        </w:trPr>
        <w:tc>
          <w:tcPr>
            <w:tcW w:w="155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IRAN</w:t>
            </w:r>
          </w:p>
        </w:tc>
        <w:tc>
          <w:tcPr>
            <w:tcW w:w="910"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76.7</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21.8</w:t>
            </w:r>
          </w:p>
        </w:tc>
        <w:tc>
          <w:tcPr>
            <w:tcW w:w="134" w:type="dxa"/>
            <w:tcBorders>
              <w:top w:val="nil"/>
              <w:left w:val="nil"/>
              <w:bottom w:val="nil"/>
              <w:right w:val="nil"/>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c>
          <w:tcPr>
            <w:tcW w:w="81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35.2</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21.8</w:t>
            </w:r>
          </w:p>
        </w:tc>
      </w:tr>
      <w:tr w:rsidR="00880973" w:rsidRPr="00880973" w:rsidTr="00880973">
        <w:trPr>
          <w:trHeight w:val="315"/>
        </w:trPr>
        <w:tc>
          <w:tcPr>
            <w:tcW w:w="155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ISRAEL</w:t>
            </w:r>
          </w:p>
        </w:tc>
        <w:tc>
          <w:tcPr>
            <w:tcW w:w="910"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15.6</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3.6</w:t>
            </w:r>
          </w:p>
        </w:tc>
        <w:tc>
          <w:tcPr>
            <w:tcW w:w="134" w:type="dxa"/>
            <w:tcBorders>
              <w:top w:val="nil"/>
              <w:left w:val="nil"/>
              <w:bottom w:val="nil"/>
              <w:right w:val="nil"/>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c>
          <w:tcPr>
            <w:tcW w:w="81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5.6</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3.6</w:t>
            </w:r>
          </w:p>
        </w:tc>
      </w:tr>
      <w:tr w:rsidR="00880973" w:rsidRPr="00880973" w:rsidTr="00880973">
        <w:trPr>
          <w:trHeight w:val="315"/>
        </w:trPr>
        <w:tc>
          <w:tcPr>
            <w:tcW w:w="155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JORDAN</w:t>
            </w:r>
          </w:p>
        </w:tc>
        <w:tc>
          <w:tcPr>
            <w:tcW w:w="910"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48.1</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18.4</w:t>
            </w:r>
          </w:p>
        </w:tc>
        <w:tc>
          <w:tcPr>
            <w:tcW w:w="134" w:type="dxa"/>
            <w:tcBorders>
              <w:top w:val="nil"/>
              <w:left w:val="nil"/>
              <w:bottom w:val="nil"/>
              <w:right w:val="nil"/>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c>
          <w:tcPr>
            <w:tcW w:w="81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24.6</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18.4</w:t>
            </w:r>
          </w:p>
        </w:tc>
      </w:tr>
      <w:tr w:rsidR="00880973" w:rsidRPr="00880973" w:rsidTr="00880973">
        <w:trPr>
          <w:trHeight w:val="315"/>
        </w:trPr>
        <w:tc>
          <w:tcPr>
            <w:tcW w:w="155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LEBANON</w:t>
            </w:r>
          </w:p>
        </w:tc>
        <w:tc>
          <w:tcPr>
            <w:tcW w:w="910"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38</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18.8</w:t>
            </w:r>
          </w:p>
        </w:tc>
        <w:tc>
          <w:tcPr>
            <w:tcW w:w="134" w:type="dxa"/>
            <w:tcBorders>
              <w:top w:val="nil"/>
              <w:left w:val="nil"/>
              <w:bottom w:val="nil"/>
              <w:right w:val="nil"/>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c>
          <w:tcPr>
            <w:tcW w:w="81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24.5</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18.8</w:t>
            </w:r>
          </w:p>
        </w:tc>
      </w:tr>
      <w:tr w:rsidR="00880973" w:rsidRPr="00880973" w:rsidTr="00880973">
        <w:trPr>
          <w:trHeight w:val="315"/>
        </w:trPr>
        <w:tc>
          <w:tcPr>
            <w:tcW w:w="155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SYRIA</w:t>
            </w:r>
          </w:p>
        </w:tc>
        <w:tc>
          <w:tcPr>
            <w:tcW w:w="910"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54.4</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13.8</w:t>
            </w:r>
          </w:p>
        </w:tc>
        <w:tc>
          <w:tcPr>
            <w:tcW w:w="134" w:type="dxa"/>
            <w:tcBorders>
              <w:top w:val="nil"/>
              <w:left w:val="nil"/>
              <w:bottom w:val="nil"/>
              <w:right w:val="nil"/>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c>
          <w:tcPr>
            <w:tcW w:w="81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19.5</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13.8</w:t>
            </w:r>
          </w:p>
        </w:tc>
      </w:tr>
      <w:tr w:rsidR="00880973" w:rsidRPr="00880973" w:rsidTr="00880973">
        <w:trPr>
          <w:trHeight w:val="315"/>
        </w:trPr>
        <w:tc>
          <w:tcPr>
            <w:tcW w:w="155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TURKEY</w:t>
            </w:r>
          </w:p>
        </w:tc>
        <w:tc>
          <w:tcPr>
            <w:tcW w:w="910"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102.2</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13.7</w:t>
            </w:r>
          </w:p>
        </w:tc>
        <w:tc>
          <w:tcPr>
            <w:tcW w:w="134" w:type="dxa"/>
            <w:tcBorders>
              <w:top w:val="nil"/>
              <w:left w:val="nil"/>
              <w:bottom w:val="nil"/>
              <w:right w:val="nil"/>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c>
          <w:tcPr>
            <w:tcW w:w="814" w:type="dxa"/>
            <w:tcBorders>
              <w:top w:val="nil"/>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34.1</w:t>
            </w:r>
          </w:p>
        </w:tc>
        <w:tc>
          <w:tcPr>
            <w:tcW w:w="814" w:type="dxa"/>
            <w:tcBorders>
              <w:top w:val="nil"/>
              <w:left w:val="nil"/>
              <w:bottom w:val="nil"/>
              <w:right w:val="single" w:sz="4" w:space="0" w:color="auto"/>
            </w:tcBorders>
            <w:shd w:val="clear" w:color="auto" w:fill="auto"/>
            <w:noWrap/>
            <w:vAlign w:val="bottom"/>
            <w:hideMark/>
          </w:tcPr>
          <w:p w:rsidR="00880973" w:rsidRPr="00880973" w:rsidRDefault="00880973" w:rsidP="00880973">
            <w:pPr>
              <w:spacing w:after="0" w:line="240" w:lineRule="auto"/>
              <w:jc w:val="right"/>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13.7</w:t>
            </w:r>
          </w:p>
        </w:tc>
      </w:tr>
      <w:tr w:rsidR="00880973" w:rsidRPr="00880973" w:rsidTr="00880973">
        <w:trPr>
          <w:trHeight w:val="315"/>
        </w:trPr>
        <w:tc>
          <w:tcPr>
            <w:tcW w:w="1554" w:type="dxa"/>
            <w:tcBorders>
              <w:top w:val="single" w:sz="4" w:space="0" w:color="auto"/>
              <w:left w:val="single" w:sz="4" w:space="0" w:color="auto"/>
              <w:bottom w:val="nil"/>
              <w:right w:val="nil"/>
            </w:tcBorders>
            <w:shd w:val="clear" w:color="auto" w:fill="auto"/>
            <w:noWrap/>
            <w:vAlign w:val="bottom"/>
            <w:hideMark/>
          </w:tcPr>
          <w:p w:rsidR="00880973" w:rsidRPr="00880973" w:rsidRDefault="00880973" w:rsidP="00880973">
            <w:pPr>
              <w:spacing w:after="0" w:line="240" w:lineRule="auto"/>
              <w:rPr>
                <w:rFonts w:ascii="Calibri" w:eastAsia="Times New Roman" w:hAnsi="Calibri" w:cs="Times New Roman"/>
                <w:i/>
                <w:iCs/>
                <w:color w:val="000000"/>
                <w:sz w:val="24"/>
                <w:szCs w:val="24"/>
              </w:rPr>
            </w:pPr>
            <w:r w:rsidRPr="00880973">
              <w:rPr>
                <w:rFonts w:ascii="Calibri" w:eastAsia="Times New Roman" w:hAnsi="Calibri" w:cs="Times New Roman"/>
                <w:i/>
                <w:iCs/>
                <w:color w:val="000000"/>
                <w:sz w:val="24"/>
                <w:szCs w:val="24"/>
              </w:rPr>
              <w:t>PAIRED-</w:t>
            </w:r>
          </w:p>
        </w:tc>
        <w:tc>
          <w:tcPr>
            <w:tcW w:w="172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0973" w:rsidRPr="00880973" w:rsidRDefault="00880973" w:rsidP="00880973">
            <w:pPr>
              <w:spacing w:after="0" w:line="240" w:lineRule="auto"/>
              <w:jc w:val="center"/>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0.015826029</w:t>
            </w:r>
          </w:p>
        </w:tc>
        <w:tc>
          <w:tcPr>
            <w:tcW w:w="134" w:type="dxa"/>
            <w:tcBorders>
              <w:top w:val="single" w:sz="4" w:space="0" w:color="auto"/>
              <w:left w:val="nil"/>
              <w:bottom w:val="nil"/>
              <w:right w:val="single" w:sz="4" w:space="0" w:color="auto"/>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 </w:t>
            </w:r>
          </w:p>
        </w:tc>
        <w:tc>
          <w:tcPr>
            <w:tcW w:w="162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0973" w:rsidRPr="00880973" w:rsidRDefault="00880973" w:rsidP="00880973">
            <w:pPr>
              <w:spacing w:after="0" w:line="240" w:lineRule="auto"/>
              <w:jc w:val="center"/>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0.023225999</w:t>
            </w:r>
          </w:p>
        </w:tc>
      </w:tr>
      <w:tr w:rsidR="00880973" w:rsidRPr="00880973" w:rsidTr="00880973">
        <w:trPr>
          <w:trHeight w:val="315"/>
        </w:trPr>
        <w:tc>
          <w:tcPr>
            <w:tcW w:w="1554" w:type="dxa"/>
            <w:tcBorders>
              <w:top w:val="nil"/>
              <w:left w:val="single" w:sz="4" w:space="0" w:color="auto"/>
              <w:bottom w:val="nil"/>
              <w:right w:val="single" w:sz="4" w:space="0" w:color="auto"/>
            </w:tcBorders>
            <w:shd w:val="clear" w:color="auto" w:fill="auto"/>
            <w:noWrap/>
            <w:vAlign w:val="bottom"/>
            <w:hideMark/>
          </w:tcPr>
          <w:p w:rsidR="00880973" w:rsidRPr="00880973" w:rsidRDefault="00880973" w:rsidP="00880973">
            <w:pPr>
              <w:spacing w:after="0" w:line="240" w:lineRule="auto"/>
              <w:rPr>
                <w:rFonts w:ascii="Calibri" w:eastAsia="Times New Roman" w:hAnsi="Calibri" w:cs="Times New Roman"/>
                <w:i/>
                <w:iCs/>
                <w:color w:val="000000"/>
                <w:sz w:val="24"/>
                <w:szCs w:val="24"/>
              </w:rPr>
            </w:pPr>
            <w:r w:rsidRPr="00880973">
              <w:rPr>
                <w:rFonts w:ascii="Calibri" w:eastAsia="Times New Roman" w:hAnsi="Calibri" w:cs="Times New Roman"/>
                <w:i/>
                <w:iCs/>
                <w:color w:val="000000"/>
                <w:sz w:val="24"/>
                <w:szCs w:val="24"/>
              </w:rPr>
              <w:t>SAMPLE</w:t>
            </w:r>
          </w:p>
        </w:tc>
        <w:tc>
          <w:tcPr>
            <w:tcW w:w="1724" w:type="dxa"/>
            <w:gridSpan w:val="2"/>
            <w:vMerge/>
            <w:tcBorders>
              <w:top w:val="nil"/>
              <w:left w:val="single" w:sz="4" w:space="0" w:color="auto"/>
              <w:bottom w:val="nil"/>
              <w:right w:val="single" w:sz="4" w:space="0" w:color="auto"/>
            </w:tcBorders>
            <w:vAlign w:val="center"/>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c>
          <w:tcPr>
            <w:tcW w:w="134" w:type="dxa"/>
            <w:tcBorders>
              <w:top w:val="nil"/>
              <w:left w:val="nil"/>
              <w:bottom w:val="nil"/>
              <w:right w:val="single" w:sz="4" w:space="0" w:color="auto"/>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 </w:t>
            </w:r>
          </w:p>
        </w:tc>
        <w:tc>
          <w:tcPr>
            <w:tcW w:w="1628" w:type="dxa"/>
            <w:gridSpan w:val="2"/>
            <w:vMerge/>
            <w:tcBorders>
              <w:top w:val="nil"/>
              <w:left w:val="nil"/>
              <w:bottom w:val="nil"/>
              <w:right w:val="single" w:sz="4" w:space="0" w:color="auto"/>
            </w:tcBorders>
            <w:vAlign w:val="center"/>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r>
      <w:tr w:rsidR="00880973" w:rsidRPr="00880973" w:rsidTr="00880973">
        <w:trPr>
          <w:trHeight w:val="315"/>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880973" w:rsidRPr="00880973" w:rsidRDefault="00880973" w:rsidP="00880973">
            <w:pPr>
              <w:spacing w:after="0" w:line="240" w:lineRule="auto"/>
              <w:rPr>
                <w:rFonts w:ascii="Calibri" w:eastAsia="Times New Roman" w:hAnsi="Calibri" w:cs="Times New Roman"/>
                <w:i/>
                <w:iCs/>
                <w:color w:val="000000"/>
                <w:sz w:val="24"/>
                <w:szCs w:val="24"/>
              </w:rPr>
            </w:pPr>
            <w:r w:rsidRPr="00880973">
              <w:rPr>
                <w:rFonts w:ascii="Calibri" w:eastAsia="Times New Roman" w:hAnsi="Calibri" w:cs="Times New Roman"/>
                <w:i/>
                <w:iCs/>
                <w:color w:val="000000"/>
                <w:sz w:val="24"/>
                <w:szCs w:val="24"/>
              </w:rPr>
              <w:t>t TEST</w:t>
            </w:r>
          </w:p>
        </w:tc>
        <w:tc>
          <w:tcPr>
            <w:tcW w:w="1724" w:type="dxa"/>
            <w:gridSpan w:val="2"/>
            <w:vMerge/>
            <w:tcBorders>
              <w:top w:val="nil"/>
              <w:left w:val="single" w:sz="4" w:space="0" w:color="auto"/>
              <w:bottom w:val="single" w:sz="4" w:space="0" w:color="auto"/>
              <w:right w:val="single" w:sz="4" w:space="0" w:color="auto"/>
            </w:tcBorders>
            <w:vAlign w:val="center"/>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c>
          <w:tcPr>
            <w:tcW w:w="134" w:type="dxa"/>
            <w:tcBorders>
              <w:top w:val="nil"/>
              <w:left w:val="nil"/>
              <w:bottom w:val="single" w:sz="4" w:space="0" w:color="auto"/>
              <w:right w:val="single" w:sz="4" w:space="0" w:color="auto"/>
            </w:tcBorders>
            <w:shd w:val="clear" w:color="BFBFBF" w:fill="auto"/>
            <w:noWrap/>
            <w:vAlign w:val="bottom"/>
            <w:hideMark/>
          </w:tcPr>
          <w:p w:rsidR="00880973" w:rsidRPr="00880973" w:rsidRDefault="00880973" w:rsidP="00880973">
            <w:pPr>
              <w:spacing w:after="0" w:line="240" w:lineRule="auto"/>
              <w:rPr>
                <w:rFonts w:ascii="Calibri" w:eastAsia="Times New Roman" w:hAnsi="Calibri" w:cs="Times New Roman"/>
                <w:color w:val="000000"/>
                <w:sz w:val="24"/>
                <w:szCs w:val="24"/>
              </w:rPr>
            </w:pPr>
            <w:r w:rsidRPr="00880973">
              <w:rPr>
                <w:rFonts w:ascii="Calibri" w:eastAsia="Times New Roman" w:hAnsi="Calibri" w:cs="Times New Roman"/>
                <w:color w:val="000000"/>
                <w:sz w:val="24"/>
                <w:szCs w:val="24"/>
              </w:rPr>
              <w:t> </w:t>
            </w:r>
          </w:p>
        </w:tc>
        <w:tc>
          <w:tcPr>
            <w:tcW w:w="1628" w:type="dxa"/>
            <w:gridSpan w:val="2"/>
            <w:vMerge/>
            <w:tcBorders>
              <w:top w:val="nil"/>
              <w:left w:val="nil"/>
              <w:bottom w:val="single" w:sz="4" w:space="0" w:color="auto"/>
              <w:right w:val="single" w:sz="4" w:space="0" w:color="auto"/>
            </w:tcBorders>
            <w:vAlign w:val="center"/>
            <w:hideMark/>
          </w:tcPr>
          <w:p w:rsidR="00880973" w:rsidRPr="00880973" w:rsidRDefault="00880973" w:rsidP="00880973">
            <w:pPr>
              <w:spacing w:after="0" w:line="240" w:lineRule="auto"/>
              <w:rPr>
                <w:rFonts w:ascii="Calibri" w:eastAsia="Times New Roman" w:hAnsi="Calibri" w:cs="Times New Roman"/>
                <w:color w:val="000000"/>
                <w:sz w:val="24"/>
                <w:szCs w:val="24"/>
              </w:rPr>
            </w:pPr>
          </w:p>
        </w:tc>
      </w:tr>
    </w:tbl>
    <w:p w:rsidR="00880973" w:rsidRPr="001B54EA" w:rsidRDefault="00880973">
      <w:pPr>
        <w:rPr>
          <w:rFonts w:ascii="Calibri" w:eastAsia="Times New Roman" w:hAnsi="Calibri" w:cs="Times New Roman"/>
          <w:i/>
          <w:color w:val="000000"/>
          <w:sz w:val="24"/>
          <w:szCs w:val="24"/>
        </w:rPr>
      </w:pPr>
      <w:proofErr w:type="gramStart"/>
      <w:r w:rsidRPr="001B54EA">
        <w:rPr>
          <w:rFonts w:ascii="Calibri" w:eastAsia="Times New Roman" w:hAnsi="Calibri" w:cs="Times New Roman"/>
          <w:i/>
          <w:color w:val="000000"/>
          <w:sz w:val="24"/>
          <w:szCs w:val="24"/>
        </w:rPr>
        <w:t>Figure 3.</w:t>
      </w:r>
      <w:proofErr w:type="gramEnd"/>
      <w:r w:rsidRPr="001B54EA">
        <w:rPr>
          <w:rFonts w:ascii="Calibri" w:eastAsia="Times New Roman" w:hAnsi="Calibri" w:cs="Times New Roman"/>
          <w:i/>
          <w:color w:val="000000"/>
          <w:sz w:val="24"/>
          <w:szCs w:val="24"/>
        </w:rPr>
        <w:t xml:space="preserve"> </w:t>
      </w:r>
      <w:proofErr w:type="gramStart"/>
      <w:r w:rsidRPr="001B54EA">
        <w:rPr>
          <w:rFonts w:ascii="Calibri" w:eastAsia="Times New Roman" w:hAnsi="Calibri" w:cs="Times New Roman"/>
          <w:i/>
          <w:color w:val="000000"/>
          <w:sz w:val="24"/>
          <w:szCs w:val="24"/>
        </w:rPr>
        <w:t>Paired-sample t test for IMR in non-Arab Middle East.</w:t>
      </w:r>
      <w:proofErr w:type="gramEnd"/>
    </w:p>
    <w:p w:rsidR="001B54EA" w:rsidRDefault="001B54EA" w:rsidP="001B54EA">
      <w:pPr>
        <w:rPr>
          <w:sz w:val="24"/>
          <w:szCs w:val="24"/>
        </w:rPr>
      </w:pPr>
    </w:p>
    <w:p w:rsidR="001B54EA" w:rsidRPr="00880973" w:rsidRDefault="001B54E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Paired-sample t tests were run for each group using IMR data from 1980 and 2010, to test the null hypothesis – H</w:t>
      </w:r>
      <w:r w:rsidRPr="001C252B">
        <w:rPr>
          <w:rFonts w:ascii="Calibri" w:eastAsia="Times New Roman" w:hAnsi="Calibri" w:cs="Times New Roman"/>
          <w:color w:val="000000"/>
          <w:sz w:val="24"/>
          <w:szCs w:val="24"/>
          <w:vertAlign w:val="subscript"/>
        </w:rPr>
        <w:t>0</w:t>
      </w:r>
      <w:r>
        <w:rPr>
          <w:rFonts w:ascii="Calibri" w:eastAsia="Times New Roman" w:hAnsi="Calibri" w:cs="Times New Roman"/>
          <w:color w:val="000000"/>
          <w:sz w:val="24"/>
          <w:szCs w:val="24"/>
        </w:rPr>
        <w:t xml:space="preserve">: </w:t>
      </w:r>
      <w:r w:rsidRPr="001C252B">
        <w:rPr>
          <w:rFonts w:ascii="Calibri" w:eastAsia="Times New Roman" w:hAnsi="Calibri" w:cs="Times New Roman"/>
          <w:color w:val="000000"/>
          <w:sz w:val="32"/>
          <w:szCs w:val="32"/>
        </w:rPr>
        <w:t>μ</w:t>
      </w:r>
      <w:r w:rsidRPr="001C252B">
        <w:rPr>
          <w:rFonts w:ascii="Calibri" w:eastAsia="Times New Roman" w:hAnsi="Calibri" w:cs="Times New Roman"/>
          <w:color w:val="000000"/>
          <w:sz w:val="24"/>
          <w:szCs w:val="24"/>
          <w:vertAlign w:val="subscript"/>
        </w:rPr>
        <w:t>1980</w:t>
      </w:r>
      <w:r>
        <w:rPr>
          <w:rFonts w:ascii="Calibri" w:eastAsia="Times New Roman" w:hAnsi="Calibri" w:cs="Times New Roman"/>
          <w:color w:val="000000"/>
          <w:sz w:val="24"/>
          <w:szCs w:val="24"/>
        </w:rPr>
        <w:t xml:space="preserve"> = </w:t>
      </w:r>
      <w:r w:rsidRPr="001C252B">
        <w:rPr>
          <w:rFonts w:ascii="Calibri" w:eastAsia="Times New Roman" w:hAnsi="Calibri" w:cs="Times New Roman"/>
          <w:color w:val="000000"/>
          <w:sz w:val="32"/>
          <w:szCs w:val="32"/>
        </w:rPr>
        <w:t>μ</w:t>
      </w:r>
      <w:r w:rsidRPr="001C252B">
        <w:rPr>
          <w:rFonts w:ascii="Calibri" w:eastAsia="Times New Roman" w:hAnsi="Calibri" w:cs="Times New Roman"/>
          <w:color w:val="000000"/>
          <w:sz w:val="24"/>
          <w:szCs w:val="24"/>
          <w:vertAlign w:val="subscript"/>
        </w:rPr>
        <w:t>2010</w:t>
      </w:r>
      <w:r>
        <w:rPr>
          <w:rFonts w:ascii="Calibri" w:eastAsia="Times New Roman" w:hAnsi="Calibri" w:cs="Times New Roman"/>
          <w:color w:val="000000"/>
          <w:sz w:val="24"/>
          <w:szCs w:val="24"/>
        </w:rPr>
        <w:t>. At the 1% level of significance,</w:t>
      </w:r>
      <w:r w:rsidR="001F2E26">
        <w:rPr>
          <w:rFonts w:ascii="Calibri" w:eastAsia="Times New Roman" w:hAnsi="Calibri" w:cs="Times New Roman"/>
          <w:color w:val="000000"/>
          <w:sz w:val="24"/>
          <w:szCs w:val="24"/>
        </w:rPr>
        <w:t xml:space="preserve"> this</w:t>
      </w:r>
      <w:r>
        <w:rPr>
          <w:rFonts w:ascii="Calibri" w:eastAsia="Times New Roman" w:hAnsi="Calibri" w:cs="Times New Roman"/>
          <w:color w:val="000000"/>
          <w:sz w:val="24"/>
          <w:szCs w:val="24"/>
        </w:rPr>
        <w:t xml:space="preserve"> null hypothesis was rejected for all of the groups, except the non-Arab Middle East, w</w:t>
      </w:r>
      <w:r w:rsidR="001F2E26">
        <w:rPr>
          <w:rFonts w:eastAsia="Times New Roman" w:cs="Times New Roman"/>
          <w:color w:val="000000"/>
          <w:sz w:val="24"/>
          <w:szCs w:val="24"/>
        </w:rPr>
        <w:t>ith its</w:t>
      </w:r>
      <w:r w:rsidRPr="00612FA3">
        <w:rPr>
          <w:rFonts w:eastAsia="Times New Roman" w:cs="Times New Roman"/>
          <w:color w:val="000000"/>
          <w:sz w:val="24"/>
          <w:szCs w:val="24"/>
        </w:rPr>
        <w:t xml:space="preserve"> p-value of 0.015826029</w:t>
      </w:r>
      <w:r>
        <w:rPr>
          <w:rFonts w:ascii="Calibri" w:eastAsia="Times New Roman" w:hAnsi="Calibri" w:cs="Times New Roman"/>
          <w:color w:val="000000"/>
          <w:sz w:val="24"/>
          <w:szCs w:val="24"/>
        </w:rPr>
        <w:t>.</w:t>
      </w:r>
    </w:p>
    <w:p w:rsidR="006559CA" w:rsidRPr="001F2E26" w:rsidRDefault="00835A12">
      <w:pPr>
        <w:rPr>
          <w:rFonts w:ascii="Calibri" w:eastAsia="Times New Roman" w:hAnsi="Calibri" w:cs="Times New Roman"/>
          <w:color w:val="000000"/>
          <w:sz w:val="24"/>
          <w:szCs w:val="24"/>
        </w:rPr>
      </w:pPr>
      <w:r>
        <w:rPr>
          <w:sz w:val="24"/>
          <w:szCs w:val="24"/>
        </w:rPr>
        <w:t xml:space="preserve">The </w:t>
      </w:r>
      <w:r w:rsidR="006559CA">
        <w:rPr>
          <w:sz w:val="24"/>
          <w:szCs w:val="24"/>
        </w:rPr>
        <w:t xml:space="preserve">non-Arab Middle East </w:t>
      </w:r>
      <w:r>
        <w:rPr>
          <w:sz w:val="24"/>
          <w:szCs w:val="24"/>
        </w:rPr>
        <w:t xml:space="preserve">p-value </w:t>
      </w:r>
      <w:r w:rsidR="006559CA">
        <w:rPr>
          <w:sz w:val="24"/>
          <w:szCs w:val="24"/>
        </w:rPr>
        <w:t xml:space="preserve">of .015826 </w:t>
      </w:r>
      <w:r>
        <w:rPr>
          <w:sz w:val="24"/>
          <w:szCs w:val="24"/>
        </w:rPr>
        <w:t xml:space="preserve">indicates that there is a 1.58% chance that </w:t>
      </w:r>
      <w:r w:rsidRPr="001C252B">
        <w:rPr>
          <w:rFonts w:ascii="Calibri" w:eastAsia="Times New Roman" w:hAnsi="Calibri" w:cs="Times New Roman"/>
          <w:color w:val="000000"/>
          <w:sz w:val="32"/>
          <w:szCs w:val="32"/>
        </w:rPr>
        <w:t>μ</w:t>
      </w:r>
      <w:r w:rsidRPr="001C252B">
        <w:rPr>
          <w:rFonts w:ascii="Calibri" w:eastAsia="Times New Roman" w:hAnsi="Calibri" w:cs="Times New Roman"/>
          <w:color w:val="000000"/>
          <w:sz w:val="24"/>
          <w:szCs w:val="24"/>
          <w:vertAlign w:val="subscript"/>
        </w:rPr>
        <w:t>1980</w:t>
      </w:r>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 xml:space="preserve">and  </w:t>
      </w:r>
      <w:r w:rsidRPr="001C252B">
        <w:rPr>
          <w:rFonts w:ascii="Calibri" w:eastAsia="Times New Roman" w:hAnsi="Calibri" w:cs="Times New Roman"/>
          <w:color w:val="000000"/>
          <w:sz w:val="32"/>
          <w:szCs w:val="32"/>
        </w:rPr>
        <w:t>μ</w:t>
      </w:r>
      <w:r w:rsidRPr="001C252B">
        <w:rPr>
          <w:rFonts w:ascii="Calibri" w:eastAsia="Times New Roman" w:hAnsi="Calibri" w:cs="Times New Roman"/>
          <w:color w:val="000000"/>
          <w:sz w:val="24"/>
          <w:szCs w:val="24"/>
          <w:vertAlign w:val="subscript"/>
        </w:rPr>
        <w:t>2010</w:t>
      </w:r>
      <w:proofErr w:type="gramEnd"/>
      <w:r>
        <w:rPr>
          <w:rFonts w:ascii="Calibri" w:eastAsia="Times New Roman" w:hAnsi="Calibri" w:cs="Times New Roman"/>
          <w:color w:val="000000"/>
          <w:sz w:val="24"/>
          <w:szCs w:val="24"/>
          <w:vertAlign w:val="subscript"/>
        </w:rPr>
        <w:t xml:space="preserve"> </w:t>
      </w:r>
      <w:r>
        <w:rPr>
          <w:rFonts w:ascii="Calibri" w:eastAsia="Times New Roman" w:hAnsi="Calibri" w:cs="Times New Roman"/>
          <w:color w:val="000000"/>
          <w:sz w:val="24"/>
          <w:szCs w:val="24"/>
        </w:rPr>
        <w:t xml:space="preserve">are </w:t>
      </w:r>
      <w:r w:rsidR="006559CA">
        <w:rPr>
          <w:rFonts w:ascii="Calibri" w:eastAsia="Times New Roman" w:hAnsi="Calibri" w:cs="Times New Roman"/>
          <w:color w:val="000000"/>
          <w:sz w:val="24"/>
          <w:szCs w:val="24"/>
        </w:rPr>
        <w:t>actually the same</w:t>
      </w:r>
      <w:r w:rsidR="001F2E26">
        <w:rPr>
          <w:rFonts w:ascii="Calibri" w:eastAsia="Times New Roman" w:hAnsi="Calibri" w:cs="Times New Roman"/>
          <w:color w:val="000000"/>
          <w:sz w:val="24"/>
          <w:szCs w:val="24"/>
        </w:rPr>
        <w:t xml:space="preserve"> value. If this were</w:t>
      </w:r>
      <w:r w:rsidR="006559CA">
        <w:rPr>
          <w:rFonts w:ascii="Calibri" w:eastAsia="Times New Roman" w:hAnsi="Calibri" w:cs="Times New Roman"/>
          <w:color w:val="000000"/>
          <w:sz w:val="24"/>
          <w:szCs w:val="24"/>
        </w:rPr>
        <w:t xml:space="preserve"> the case it would mean</w:t>
      </w:r>
      <w:r>
        <w:rPr>
          <w:rFonts w:ascii="Calibri" w:eastAsia="Times New Roman" w:hAnsi="Calibri" w:cs="Times New Roman"/>
          <w:color w:val="000000"/>
          <w:sz w:val="24"/>
          <w:szCs w:val="24"/>
        </w:rPr>
        <w:t xml:space="preserve"> that</w:t>
      </w:r>
      <w:r w:rsidR="001F2E26">
        <w:rPr>
          <w:rFonts w:ascii="Calibri" w:eastAsia="Times New Roman" w:hAnsi="Calibri" w:cs="Times New Roman"/>
          <w:color w:val="000000"/>
          <w:sz w:val="24"/>
          <w:szCs w:val="24"/>
        </w:rPr>
        <w:t xml:space="preserve"> the observed change between 1980 and 2010 was not real, and the 2010 values cannot be accepted. </w:t>
      </w:r>
      <w:proofErr w:type="gramStart"/>
      <w:r w:rsidR="001F2E26">
        <w:rPr>
          <w:rFonts w:ascii="Calibri" w:eastAsia="Times New Roman" w:hAnsi="Calibri" w:cs="Times New Roman"/>
          <w:color w:val="000000"/>
          <w:sz w:val="24"/>
          <w:szCs w:val="24"/>
        </w:rPr>
        <w:t xml:space="preserve">(I am not clear on whether this means that the 1980 values are acceptable, or if I am to assume that the true </w:t>
      </w:r>
      <w:r w:rsidR="001F2E26" w:rsidRPr="001C252B">
        <w:rPr>
          <w:rFonts w:ascii="Calibri" w:eastAsia="Times New Roman" w:hAnsi="Calibri" w:cs="Times New Roman"/>
          <w:color w:val="000000"/>
          <w:sz w:val="32"/>
          <w:szCs w:val="32"/>
        </w:rPr>
        <w:t>μ</w:t>
      </w:r>
      <w:r w:rsidR="001F2E26">
        <w:rPr>
          <w:rFonts w:ascii="Calibri" w:eastAsia="Times New Roman" w:hAnsi="Calibri" w:cs="Times New Roman"/>
          <w:color w:val="000000"/>
          <w:sz w:val="32"/>
          <w:szCs w:val="32"/>
        </w:rPr>
        <w:t xml:space="preserve"> </w:t>
      </w:r>
      <w:r w:rsidR="001F2E26">
        <w:rPr>
          <w:rFonts w:ascii="Calibri" w:eastAsia="Times New Roman" w:hAnsi="Calibri" w:cs="Times New Roman"/>
          <w:color w:val="000000"/>
          <w:sz w:val="24"/>
          <w:szCs w:val="24"/>
        </w:rPr>
        <w:t>is some intermediate value between the two.)</w:t>
      </w:r>
      <w:proofErr w:type="gramEnd"/>
      <w:r w:rsidR="001F2E26">
        <w:rPr>
          <w:rFonts w:ascii="Calibri" w:eastAsia="Times New Roman" w:hAnsi="Calibri" w:cs="Times New Roman"/>
          <w:color w:val="000000"/>
          <w:sz w:val="24"/>
          <w:szCs w:val="24"/>
        </w:rPr>
        <w:t xml:space="preserve"> In any event, though t</w:t>
      </w:r>
      <w:r w:rsidR="006559CA">
        <w:rPr>
          <w:rFonts w:ascii="Calibri" w:eastAsia="Times New Roman" w:hAnsi="Calibri" w:cs="Times New Roman"/>
          <w:color w:val="000000"/>
          <w:sz w:val="24"/>
          <w:szCs w:val="24"/>
        </w:rPr>
        <w:t>he 1% level of significance is</w:t>
      </w:r>
      <w:r w:rsidR="001F2E26">
        <w:rPr>
          <w:rFonts w:ascii="Calibri" w:eastAsia="Times New Roman" w:hAnsi="Calibri" w:cs="Times New Roman"/>
          <w:color w:val="000000"/>
          <w:sz w:val="24"/>
          <w:szCs w:val="24"/>
        </w:rPr>
        <w:t xml:space="preserve"> very low, </w:t>
      </w:r>
      <w:r w:rsidR="006559CA">
        <w:rPr>
          <w:rFonts w:ascii="Calibri" w:eastAsia="Times New Roman" w:hAnsi="Calibri" w:cs="Times New Roman"/>
          <w:color w:val="000000"/>
          <w:sz w:val="24"/>
          <w:szCs w:val="24"/>
        </w:rPr>
        <w:t>considering the fact that f</w:t>
      </w:r>
      <w:r>
        <w:rPr>
          <w:rFonts w:ascii="Calibri" w:eastAsia="Times New Roman" w:hAnsi="Calibri" w:cs="Times New Roman"/>
          <w:color w:val="000000"/>
          <w:sz w:val="24"/>
          <w:szCs w:val="24"/>
        </w:rPr>
        <w:t>or the other three groups the p-value</w:t>
      </w:r>
      <w:r w:rsidR="006559CA">
        <w:rPr>
          <w:rFonts w:ascii="Calibri" w:eastAsia="Times New Roman" w:hAnsi="Calibri" w:cs="Times New Roman"/>
          <w:color w:val="000000"/>
          <w:sz w:val="24"/>
          <w:szCs w:val="24"/>
        </w:rPr>
        <w:t>s were</w:t>
      </w:r>
      <w:r>
        <w:rPr>
          <w:rFonts w:ascii="Calibri" w:eastAsia="Times New Roman" w:hAnsi="Calibri" w:cs="Times New Roman"/>
          <w:color w:val="000000"/>
          <w:sz w:val="24"/>
          <w:szCs w:val="24"/>
        </w:rPr>
        <w:t xml:space="preserve"> much smaller,</w:t>
      </w:r>
      <w:r w:rsidR="006559CA">
        <w:rPr>
          <w:rFonts w:ascii="Calibri" w:eastAsia="Times New Roman" w:hAnsi="Calibri" w:cs="Times New Roman"/>
          <w:color w:val="000000"/>
          <w:sz w:val="24"/>
          <w:szCs w:val="24"/>
        </w:rPr>
        <w:t xml:space="preserve"> and the</w:t>
      </w:r>
      <w:r w:rsidR="001F2E26">
        <w:rPr>
          <w:rFonts w:ascii="Calibri" w:eastAsia="Times New Roman" w:hAnsi="Calibri" w:cs="Times New Roman"/>
          <w:color w:val="000000"/>
          <w:sz w:val="24"/>
          <w:szCs w:val="24"/>
        </w:rPr>
        <w:t>ir</w:t>
      </w:r>
      <w:r w:rsidR="006559CA">
        <w:rPr>
          <w:rFonts w:ascii="Calibri" w:eastAsia="Times New Roman" w:hAnsi="Calibri" w:cs="Times New Roman"/>
          <w:color w:val="000000"/>
          <w:sz w:val="24"/>
          <w:szCs w:val="24"/>
        </w:rPr>
        <w:t xml:space="preserve"> null hypotheses rejected, we can conclude that the improvement observed in the non-Arab Middle East is not as robust as for the other regions.</w:t>
      </w:r>
      <w:r>
        <w:rPr>
          <w:rFonts w:ascii="Calibri" w:eastAsia="Times New Roman" w:hAnsi="Calibri" w:cs="Times New Roman"/>
          <w:color w:val="000000"/>
          <w:sz w:val="24"/>
          <w:szCs w:val="24"/>
        </w:rPr>
        <w:t xml:space="preserve"> </w:t>
      </w:r>
    </w:p>
    <w:p w:rsidR="001F2E26" w:rsidRDefault="001F2E26">
      <w:pPr>
        <w:rPr>
          <w:b/>
          <w:sz w:val="24"/>
          <w:szCs w:val="24"/>
        </w:rPr>
      </w:pPr>
    </w:p>
    <w:p w:rsidR="00990D8D" w:rsidRDefault="00436444">
      <w:pPr>
        <w:rPr>
          <w:b/>
          <w:sz w:val="24"/>
          <w:szCs w:val="24"/>
        </w:rPr>
      </w:pPr>
      <w:r>
        <w:rPr>
          <w:b/>
          <w:sz w:val="24"/>
          <w:szCs w:val="24"/>
        </w:rPr>
        <w:t>Discussion</w:t>
      </w:r>
    </w:p>
    <w:p w:rsidR="00576B6A" w:rsidRDefault="00913F16">
      <w:pPr>
        <w:rPr>
          <w:sz w:val="24"/>
          <w:szCs w:val="24"/>
        </w:rPr>
      </w:pPr>
      <w:r>
        <w:rPr>
          <w:sz w:val="24"/>
          <w:szCs w:val="24"/>
        </w:rPr>
        <w:t>There has been an improvement in the IMR for all four groups and for all 24 countries. H</w:t>
      </w:r>
      <w:r w:rsidR="00576B6A">
        <w:rPr>
          <w:sz w:val="24"/>
          <w:szCs w:val="24"/>
        </w:rPr>
        <w:t xml:space="preserve">owever, the data suggests that this improvement is not as significant for the non-Arab Middle East subgroup. In their 2011 paper, “Correlation between socioeconomic differences and infant mortality in the Arab World (1990 – 2009)”, </w:t>
      </w:r>
      <w:proofErr w:type="spellStart"/>
      <w:r w:rsidR="00576B6A">
        <w:rPr>
          <w:sz w:val="24"/>
          <w:szCs w:val="24"/>
        </w:rPr>
        <w:t>Abuqamar</w:t>
      </w:r>
      <w:proofErr w:type="spellEnd"/>
      <w:r w:rsidR="00576B6A">
        <w:rPr>
          <w:sz w:val="24"/>
          <w:szCs w:val="24"/>
        </w:rPr>
        <w:t xml:space="preserve">, </w:t>
      </w:r>
      <w:proofErr w:type="spellStart"/>
      <w:r w:rsidR="00576B6A">
        <w:rPr>
          <w:sz w:val="24"/>
          <w:szCs w:val="24"/>
        </w:rPr>
        <w:t>Coomans</w:t>
      </w:r>
      <w:proofErr w:type="spellEnd"/>
      <w:r w:rsidR="00576B6A">
        <w:rPr>
          <w:sz w:val="24"/>
          <w:szCs w:val="24"/>
        </w:rPr>
        <w:t xml:space="preserve">, and </w:t>
      </w:r>
      <w:proofErr w:type="spellStart"/>
      <w:r w:rsidR="00576B6A">
        <w:rPr>
          <w:sz w:val="24"/>
          <w:szCs w:val="24"/>
        </w:rPr>
        <w:t>Louckx</w:t>
      </w:r>
      <w:proofErr w:type="spellEnd"/>
      <w:r w:rsidR="00576B6A">
        <w:rPr>
          <w:sz w:val="24"/>
          <w:szCs w:val="24"/>
        </w:rPr>
        <w:t xml:space="preserve"> suggest that the following socioeconomic factors need to be considered when studying IMR: education, unemployment, level of poverty, early marriage, consanguineous marriage, literacy, maternal birthplace, marital status, and tobacco.</w:t>
      </w:r>
    </w:p>
    <w:p w:rsidR="00576B6A" w:rsidRDefault="00576B6A">
      <w:pPr>
        <w:rPr>
          <w:sz w:val="24"/>
          <w:szCs w:val="24"/>
        </w:rPr>
      </w:pPr>
      <w:r>
        <w:rPr>
          <w:sz w:val="24"/>
          <w:szCs w:val="24"/>
        </w:rPr>
        <w:lastRenderedPageBreak/>
        <w:t>Though the non-Arab Middle East has shown improvement over the last three decades, the governments of each country, as well as any NGOs working in the region, should address the above mentioned socioeconomic factors in order to further improve, and be able to match the levels of improvement observed in the countries of neighboring regions.</w:t>
      </w:r>
    </w:p>
    <w:p w:rsidR="00700C6B" w:rsidRDefault="00700C6B">
      <w:pPr>
        <w:rPr>
          <w:sz w:val="24"/>
          <w:szCs w:val="24"/>
        </w:rPr>
      </w:pPr>
    </w:p>
    <w:p w:rsidR="00700C6B" w:rsidRDefault="00700C6B">
      <w:pPr>
        <w:rPr>
          <w:b/>
          <w:sz w:val="24"/>
          <w:szCs w:val="24"/>
        </w:rPr>
      </w:pPr>
      <w:r w:rsidRPr="00700C6B">
        <w:rPr>
          <w:b/>
          <w:sz w:val="24"/>
          <w:szCs w:val="24"/>
        </w:rPr>
        <w:t>Sources</w:t>
      </w:r>
    </w:p>
    <w:p w:rsidR="007C6036" w:rsidRPr="00700C6B" w:rsidRDefault="007C6036">
      <w:pPr>
        <w:rPr>
          <w:sz w:val="24"/>
          <w:szCs w:val="24"/>
        </w:rPr>
      </w:pPr>
      <w:r w:rsidRPr="007C6036">
        <w:rPr>
          <w:sz w:val="24"/>
          <w:szCs w:val="24"/>
        </w:rPr>
        <w:t>http://www.indexmundi.com/</w:t>
      </w:r>
    </w:p>
    <w:p w:rsidR="00700C6B" w:rsidRDefault="00700C6B">
      <w:pPr>
        <w:rPr>
          <w:sz w:val="24"/>
          <w:szCs w:val="24"/>
        </w:rPr>
      </w:pPr>
      <w:r w:rsidRPr="007C6036">
        <w:rPr>
          <w:sz w:val="24"/>
          <w:szCs w:val="24"/>
        </w:rPr>
        <w:t>http://www.imf.org/external/pubs/ft/weo/2011/02/weodata/index.aspx</w:t>
      </w:r>
    </w:p>
    <w:p w:rsidR="007C6036" w:rsidRPr="00913F16" w:rsidRDefault="007C6036">
      <w:pPr>
        <w:rPr>
          <w:sz w:val="24"/>
          <w:szCs w:val="24"/>
        </w:rPr>
      </w:pPr>
      <w:r w:rsidRPr="007C6036">
        <w:rPr>
          <w:sz w:val="24"/>
          <w:szCs w:val="24"/>
        </w:rPr>
        <w:t>http://www.academicjournals.org/ijsa/PDF/pdf2011/Jan/Abuquamar%20et%20al%20pdf.pdf</w:t>
      </w:r>
    </w:p>
    <w:sectPr w:rsidR="007C6036" w:rsidRPr="00913F16" w:rsidSect="00533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0D8D"/>
    <w:rsid w:val="001B54EA"/>
    <w:rsid w:val="001C252B"/>
    <w:rsid w:val="001F2E26"/>
    <w:rsid w:val="00236074"/>
    <w:rsid w:val="002C1ADE"/>
    <w:rsid w:val="003F48B9"/>
    <w:rsid w:val="00436444"/>
    <w:rsid w:val="004E1FC9"/>
    <w:rsid w:val="00533512"/>
    <w:rsid w:val="00576B6A"/>
    <w:rsid w:val="00612FA3"/>
    <w:rsid w:val="0061468D"/>
    <w:rsid w:val="006559CA"/>
    <w:rsid w:val="00700C6B"/>
    <w:rsid w:val="007942BA"/>
    <w:rsid w:val="007C6036"/>
    <w:rsid w:val="00835A12"/>
    <w:rsid w:val="00880973"/>
    <w:rsid w:val="00913F16"/>
    <w:rsid w:val="00990D8D"/>
    <w:rsid w:val="00B10AB8"/>
    <w:rsid w:val="00F5601B"/>
    <w:rsid w:val="00FF7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C9"/>
    <w:rPr>
      <w:rFonts w:ascii="Tahoma" w:hAnsi="Tahoma" w:cs="Tahoma"/>
      <w:sz w:val="16"/>
      <w:szCs w:val="16"/>
    </w:rPr>
  </w:style>
  <w:style w:type="table" w:styleId="TableGrid">
    <w:name w:val="Table Grid"/>
    <w:basedOn w:val="TableNormal"/>
    <w:uiPriority w:val="59"/>
    <w:rsid w:val="0088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0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C9"/>
    <w:rPr>
      <w:rFonts w:ascii="Tahoma" w:hAnsi="Tahoma" w:cs="Tahoma"/>
      <w:sz w:val="16"/>
      <w:szCs w:val="16"/>
    </w:rPr>
  </w:style>
  <w:style w:type="table" w:styleId="TableGrid">
    <w:name w:val="Table Grid"/>
    <w:basedOn w:val="TableNormal"/>
    <w:uiPriority w:val="59"/>
    <w:rsid w:val="0088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0C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9189491">
      <w:bodyDiv w:val="1"/>
      <w:marLeft w:val="0"/>
      <w:marRight w:val="0"/>
      <w:marTop w:val="0"/>
      <w:marBottom w:val="0"/>
      <w:divBdr>
        <w:top w:val="none" w:sz="0" w:space="0" w:color="auto"/>
        <w:left w:val="none" w:sz="0" w:space="0" w:color="auto"/>
        <w:bottom w:val="none" w:sz="0" w:space="0" w:color="auto"/>
        <w:right w:val="none" w:sz="0" w:space="0" w:color="auto"/>
      </w:divBdr>
    </w:div>
    <w:div w:id="383212018">
      <w:bodyDiv w:val="1"/>
      <w:marLeft w:val="0"/>
      <w:marRight w:val="0"/>
      <w:marTop w:val="0"/>
      <w:marBottom w:val="0"/>
      <w:divBdr>
        <w:top w:val="none" w:sz="0" w:space="0" w:color="auto"/>
        <w:left w:val="none" w:sz="0" w:space="0" w:color="auto"/>
        <w:bottom w:val="none" w:sz="0" w:space="0" w:color="auto"/>
        <w:right w:val="none" w:sz="0" w:space="0" w:color="auto"/>
      </w:divBdr>
    </w:div>
    <w:div w:id="875852495">
      <w:bodyDiv w:val="1"/>
      <w:marLeft w:val="0"/>
      <w:marRight w:val="0"/>
      <w:marTop w:val="0"/>
      <w:marBottom w:val="0"/>
      <w:divBdr>
        <w:top w:val="none" w:sz="0" w:space="0" w:color="auto"/>
        <w:left w:val="none" w:sz="0" w:space="0" w:color="auto"/>
        <w:bottom w:val="none" w:sz="0" w:space="0" w:color="auto"/>
        <w:right w:val="none" w:sz="0" w:space="0" w:color="auto"/>
      </w:divBdr>
    </w:div>
    <w:div w:id="1095201013">
      <w:bodyDiv w:val="1"/>
      <w:marLeft w:val="0"/>
      <w:marRight w:val="0"/>
      <w:marTop w:val="0"/>
      <w:marBottom w:val="0"/>
      <w:divBdr>
        <w:top w:val="none" w:sz="0" w:space="0" w:color="auto"/>
        <w:left w:val="none" w:sz="0" w:space="0" w:color="auto"/>
        <w:bottom w:val="none" w:sz="0" w:space="0" w:color="auto"/>
        <w:right w:val="none" w:sz="0" w:space="0" w:color="auto"/>
      </w:divBdr>
    </w:div>
    <w:div w:id="1416390746">
      <w:bodyDiv w:val="1"/>
      <w:marLeft w:val="0"/>
      <w:marRight w:val="0"/>
      <w:marTop w:val="0"/>
      <w:marBottom w:val="0"/>
      <w:divBdr>
        <w:top w:val="none" w:sz="0" w:space="0" w:color="auto"/>
        <w:left w:val="none" w:sz="0" w:space="0" w:color="auto"/>
        <w:bottom w:val="none" w:sz="0" w:space="0" w:color="auto"/>
        <w:right w:val="none" w:sz="0" w:space="0" w:color="auto"/>
      </w:divBdr>
    </w:div>
    <w:div w:id="1476682607">
      <w:bodyDiv w:val="1"/>
      <w:marLeft w:val="0"/>
      <w:marRight w:val="0"/>
      <w:marTop w:val="0"/>
      <w:marBottom w:val="0"/>
      <w:divBdr>
        <w:top w:val="none" w:sz="0" w:space="0" w:color="auto"/>
        <w:left w:val="none" w:sz="0" w:space="0" w:color="auto"/>
        <w:bottom w:val="none" w:sz="0" w:space="0" w:color="auto"/>
        <w:right w:val="none" w:sz="0" w:space="0" w:color="auto"/>
      </w:divBdr>
    </w:div>
    <w:div w:id="1554079279">
      <w:bodyDiv w:val="1"/>
      <w:marLeft w:val="0"/>
      <w:marRight w:val="0"/>
      <w:marTop w:val="0"/>
      <w:marBottom w:val="0"/>
      <w:divBdr>
        <w:top w:val="none" w:sz="0" w:space="0" w:color="auto"/>
        <w:left w:val="none" w:sz="0" w:space="0" w:color="auto"/>
        <w:bottom w:val="none" w:sz="0" w:space="0" w:color="auto"/>
        <w:right w:val="none" w:sz="0" w:space="0" w:color="auto"/>
      </w:divBdr>
    </w:div>
    <w:div w:id="1650088128">
      <w:bodyDiv w:val="1"/>
      <w:marLeft w:val="0"/>
      <w:marRight w:val="0"/>
      <w:marTop w:val="0"/>
      <w:marBottom w:val="0"/>
      <w:divBdr>
        <w:top w:val="none" w:sz="0" w:space="0" w:color="auto"/>
        <w:left w:val="none" w:sz="0" w:space="0" w:color="auto"/>
        <w:bottom w:val="none" w:sz="0" w:space="0" w:color="auto"/>
        <w:right w:val="none" w:sz="0" w:space="0" w:color="auto"/>
      </w:divBdr>
    </w:div>
    <w:div w:id="1717778729">
      <w:bodyDiv w:val="1"/>
      <w:marLeft w:val="0"/>
      <w:marRight w:val="0"/>
      <w:marTop w:val="0"/>
      <w:marBottom w:val="0"/>
      <w:divBdr>
        <w:top w:val="none" w:sz="0" w:space="0" w:color="auto"/>
        <w:left w:val="none" w:sz="0" w:space="0" w:color="auto"/>
        <w:bottom w:val="none" w:sz="0" w:space="0" w:color="auto"/>
        <w:right w:val="none" w:sz="0" w:space="0" w:color="auto"/>
      </w:divBdr>
    </w:div>
    <w:div w:id="18062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4"/>
  <c:chart>
    <c:title>
      <c:tx>
        <c:rich>
          <a:bodyPr/>
          <a:lstStyle/>
          <a:p>
            <a:pPr>
              <a:defRPr/>
            </a:pPr>
            <a:r>
              <a:rPr lang="en-US"/>
              <a:t>NON-ARAB MIDDLE EAST</a:t>
            </a:r>
          </a:p>
        </c:rich>
      </c:tx>
    </c:title>
    <c:plotArea>
      <c:layout/>
      <c:scatterChart>
        <c:scatterStyle val="lineMarker"/>
        <c:ser>
          <c:idx val="0"/>
          <c:order val="0"/>
          <c:spPr>
            <a:ln w="28575">
              <a:noFill/>
            </a:ln>
          </c:spPr>
          <c:trendline>
            <c:trendlineType val="linear"/>
            <c:dispRSqr val="1"/>
            <c:dispEq val="1"/>
            <c:trendlineLbl>
              <c:layout>
                <c:manualLayout>
                  <c:x val="0.14258398752606297"/>
                  <c:y val="-0.71039773874419565"/>
                </c:manualLayout>
              </c:layout>
              <c:numFmt formatCode="General" sourceLinked="0"/>
            </c:trendlineLbl>
          </c:trendline>
          <c:xVal>
            <c:numRef>
              <c:f>Sheet2!$C$375:$C$560</c:f>
              <c:numCache>
                <c:formatCode>General</c:formatCode>
                <c:ptCount val="186"/>
                <c:pt idx="0">
                  <c:v>2975.4150000000009</c:v>
                </c:pt>
                <c:pt idx="1">
                  <c:v>3296.0720000000001</c:v>
                </c:pt>
                <c:pt idx="2">
                  <c:v>3847.3</c:v>
                </c:pt>
                <c:pt idx="3">
                  <c:v>4241.5080000000007</c:v>
                </c:pt>
                <c:pt idx="4">
                  <c:v>4371.0940000000001</c:v>
                </c:pt>
                <c:pt idx="5">
                  <c:v>4509.6980000000003</c:v>
                </c:pt>
                <c:pt idx="6">
                  <c:v>4041.681</c:v>
                </c:pt>
                <c:pt idx="7">
                  <c:v>3970.2419999999997</c:v>
                </c:pt>
                <c:pt idx="8">
                  <c:v>3444.2530000000002</c:v>
                </c:pt>
                <c:pt idx="9">
                  <c:v>3704.62</c:v>
                </c:pt>
                <c:pt idx="10">
                  <c:v>4491.4769999999999</c:v>
                </c:pt>
                <c:pt idx="11">
                  <c:v>5110.7140000000009</c:v>
                </c:pt>
                <c:pt idx="12">
                  <c:v>4947.51</c:v>
                </c:pt>
                <c:pt idx="13">
                  <c:v>5022.8390000000009</c:v>
                </c:pt>
                <c:pt idx="14">
                  <c:v>5037.0890000000009</c:v>
                </c:pt>
                <c:pt idx="15">
                  <c:v>5096.5570000000016</c:v>
                </c:pt>
                <c:pt idx="16">
                  <c:v>5703.9830000000002</c:v>
                </c:pt>
                <c:pt idx="17">
                  <c:v>6156.7760000000007</c:v>
                </c:pt>
                <c:pt idx="18">
                  <c:v>6302.52</c:v>
                </c:pt>
                <c:pt idx="19">
                  <c:v>6417.75</c:v>
                </c:pt>
                <c:pt idx="20">
                  <c:v>6781.0710000000008</c:v>
                </c:pt>
                <c:pt idx="21">
                  <c:v>7108.3520000000026</c:v>
                </c:pt>
                <c:pt idx="22">
                  <c:v>7635.1330000000007</c:v>
                </c:pt>
                <c:pt idx="23">
                  <c:v>8149.2650000000003</c:v>
                </c:pt>
                <c:pt idx="24">
                  <c:v>8655.826999999992</c:v>
                </c:pt>
                <c:pt idx="25">
                  <c:v>9144.8769999999931</c:v>
                </c:pt>
                <c:pt idx="26">
                  <c:v>9835.7669999999925</c:v>
                </c:pt>
                <c:pt idx="27">
                  <c:v>11053.807000000001</c:v>
                </c:pt>
                <c:pt idx="28">
                  <c:v>11200.8</c:v>
                </c:pt>
                <c:pt idx="29">
                  <c:v>11549.705</c:v>
                </c:pt>
                <c:pt idx="30">
                  <c:v>11882.66</c:v>
                </c:pt>
                <c:pt idx="31">
                  <c:v>7270.0560000000014</c:v>
                </c:pt>
                <c:pt idx="32">
                  <c:v>8172.768</c:v>
                </c:pt>
                <c:pt idx="33">
                  <c:v>8639.393</c:v>
                </c:pt>
                <c:pt idx="34">
                  <c:v>9057.8310000000001</c:v>
                </c:pt>
                <c:pt idx="35">
                  <c:v>9448.7510000000002</c:v>
                </c:pt>
                <c:pt idx="36">
                  <c:v>10004.51</c:v>
                </c:pt>
                <c:pt idx="37">
                  <c:v>10426.096</c:v>
                </c:pt>
                <c:pt idx="38">
                  <c:v>11355.2</c:v>
                </c:pt>
                <c:pt idx="39">
                  <c:v>11957.598</c:v>
                </c:pt>
                <c:pt idx="40">
                  <c:v>12321.94</c:v>
                </c:pt>
                <c:pt idx="41">
                  <c:v>13292.594999999996</c:v>
                </c:pt>
                <c:pt idx="42">
                  <c:v>13951.075000000001</c:v>
                </c:pt>
                <c:pt idx="43">
                  <c:v>14761.931</c:v>
                </c:pt>
                <c:pt idx="44">
                  <c:v>15079.561</c:v>
                </c:pt>
                <c:pt idx="45">
                  <c:v>15890.552</c:v>
                </c:pt>
                <c:pt idx="46">
                  <c:v>17252.941999999999</c:v>
                </c:pt>
                <c:pt idx="47">
                  <c:v>18010.530999999992</c:v>
                </c:pt>
                <c:pt idx="48">
                  <c:v>18449.681</c:v>
                </c:pt>
                <c:pt idx="49">
                  <c:v>18965.774000000001</c:v>
                </c:pt>
                <c:pt idx="50">
                  <c:v>19446.366000000005</c:v>
                </c:pt>
                <c:pt idx="51">
                  <c:v>21242.16</c:v>
                </c:pt>
                <c:pt idx="52">
                  <c:v>21230.478999999999</c:v>
                </c:pt>
                <c:pt idx="53">
                  <c:v>21033.522000000001</c:v>
                </c:pt>
                <c:pt idx="54">
                  <c:v>21395.261999999999</c:v>
                </c:pt>
                <c:pt idx="55">
                  <c:v>22664.063999999998</c:v>
                </c:pt>
                <c:pt idx="56">
                  <c:v>24170.384999999998</c:v>
                </c:pt>
                <c:pt idx="57">
                  <c:v>25886.903999999999</c:v>
                </c:pt>
                <c:pt idx="58">
                  <c:v>27497.311000000002</c:v>
                </c:pt>
                <c:pt idx="59">
                  <c:v>28609.988000000008</c:v>
                </c:pt>
                <c:pt idx="60">
                  <c:v>28526.322</c:v>
                </c:pt>
                <c:pt idx="61">
                  <c:v>29601.776000000005</c:v>
                </c:pt>
                <c:pt idx="62">
                  <c:v>1965.6129999999998</c:v>
                </c:pt>
                <c:pt idx="63">
                  <c:v>2425.7959999999998</c:v>
                </c:pt>
                <c:pt idx="64">
                  <c:v>2651.6889999999989</c:v>
                </c:pt>
                <c:pt idx="65">
                  <c:v>2595.3609999999999</c:v>
                </c:pt>
                <c:pt idx="66">
                  <c:v>2703.44</c:v>
                </c:pt>
                <c:pt idx="67">
                  <c:v>2608.6309999999999</c:v>
                </c:pt>
                <c:pt idx="68">
                  <c:v>2707.7419999999997</c:v>
                </c:pt>
                <c:pt idx="69">
                  <c:v>2744.4569999999999</c:v>
                </c:pt>
                <c:pt idx="70">
                  <c:v>2772.6839999999997</c:v>
                </c:pt>
                <c:pt idx="71">
                  <c:v>2472.9320000000002</c:v>
                </c:pt>
                <c:pt idx="72">
                  <c:v>2321.8940000000002</c:v>
                </c:pt>
                <c:pt idx="73">
                  <c:v>2289.326</c:v>
                </c:pt>
                <c:pt idx="74">
                  <c:v>2580.239</c:v>
                </c:pt>
                <c:pt idx="75">
                  <c:v>2652.7179999999998</c:v>
                </c:pt>
                <c:pt idx="76">
                  <c:v>2742.911000000001</c:v>
                </c:pt>
                <c:pt idx="77">
                  <c:v>2886.462</c:v>
                </c:pt>
                <c:pt idx="78">
                  <c:v>2920.9530000000009</c:v>
                </c:pt>
                <c:pt idx="79">
                  <c:v>2987.4250000000002</c:v>
                </c:pt>
                <c:pt idx="80">
                  <c:v>3033.404</c:v>
                </c:pt>
                <c:pt idx="81">
                  <c:v>3104.9</c:v>
                </c:pt>
                <c:pt idx="82">
                  <c:v>3225.96</c:v>
                </c:pt>
                <c:pt idx="83">
                  <c:v>3388.2719999999999</c:v>
                </c:pt>
                <c:pt idx="84">
                  <c:v>3556.6129999999998</c:v>
                </c:pt>
                <c:pt idx="85">
                  <c:v>3687.7139999999999</c:v>
                </c:pt>
                <c:pt idx="86">
                  <c:v>4016.2079999999992</c:v>
                </c:pt>
                <c:pt idx="87">
                  <c:v>4289.1180000000004</c:v>
                </c:pt>
                <c:pt idx="88">
                  <c:v>4677.5190000000002</c:v>
                </c:pt>
                <c:pt idx="89">
                  <c:v>5094.8500000000004</c:v>
                </c:pt>
                <c:pt idx="90">
                  <c:v>5463.2640000000001</c:v>
                </c:pt>
                <c:pt idx="91">
                  <c:v>5696.6790000000001</c:v>
                </c:pt>
                <c:pt idx="92">
                  <c:v>5767.1720000000014</c:v>
                </c:pt>
                <c:pt idx="93">
                  <c:v>5322.3970000000018</c:v>
                </c:pt>
                <c:pt idx="94">
                  <c:v>5897.35</c:v>
                </c:pt>
                <c:pt idx="95">
                  <c:v>3970.1639999999998</c:v>
                </c:pt>
                <c:pt idx="96">
                  <c:v>5064.4360000000006</c:v>
                </c:pt>
                <c:pt idx="97">
                  <c:v>7591.9069999999992</c:v>
                </c:pt>
                <c:pt idx="98">
                  <c:v>9613.1640000000007</c:v>
                </c:pt>
                <c:pt idx="99">
                  <c:v>9024.9339999999956</c:v>
                </c:pt>
                <c:pt idx="100">
                  <c:v>10721.796</c:v>
                </c:pt>
                <c:pt idx="101">
                  <c:v>7875.4869999999992</c:v>
                </c:pt>
                <c:pt idx="102">
                  <c:v>4673.6910000000025</c:v>
                </c:pt>
                <c:pt idx="103">
                  <c:v>4157.5479999999998</c:v>
                </c:pt>
                <c:pt idx="104">
                  <c:v>5648.9769999999999</c:v>
                </c:pt>
                <c:pt idx="105">
                  <c:v>5924.6640000000025</c:v>
                </c:pt>
                <c:pt idx="106">
                  <c:v>6352.42</c:v>
                </c:pt>
                <c:pt idx="107">
                  <c:v>6867.8050000000003</c:v>
                </c:pt>
                <c:pt idx="108">
                  <c:v>7320.1990000000014</c:v>
                </c:pt>
                <c:pt idx="109">
                  <c:v>7605.8789999999999</c:v>
                </c:pt>
                <c:pt idx="110">
                  <c:v>7891.9170000000004</c:v>
                </c:pt>
                <c:pt idx="111">
                  <c:v>8030.6090000000004</c:v>
                </c:pt>
                <c:pt idx="112">
                  <c:v>7927.5640000000003</c:v>
                </c:pt>
                <c:pt idx="113">
                  <c:v>8076.7539999999999</c:v>
                </c:pt>
                <c:pt idx="114">
                  <c:v>8477.9709999999923</c:v>
                </c:pt>
                <c:pt idx="115">
                  <c:v>8792.3519999999953</c:v>
                </c:pt>
                <c:pt idx="116">
                  <c:v>9144.0849999999955</c:v>
                </c:pt>
                <c:pt idx="117">
                  <c:v>9958.5149999999958</c:v>
                </c:pt>
                <c:pt idx="118">
                  <c:v>10366.741000000004</c:v>
                </c:pt>
                <c:pt idx="119">
                  <c:v>10750.993</c:v>
                </c:pt>
                <c:pt idx="120">
                  <c:v>11892.653</c:v>
                </c:pt>
                <c:pt idx="121">
                  <c:v>13116.450999999992</c:v>
                </c:pt>
                <c:pt idx="122">
                  <c:v>14196.962</c:v>
                </c:pt>
                <c:pt idx="123">
                  <c:v>15239.325999999992</c:v>
                </c:pt>
                <c:pt idx="124">
                  <c:v>1600.2839999999999</c:v>
                </c:pt>
                <c:pt idx="125">
                  <c:v>1835.097</c:v>
                </c:pt>
                <c:pt idx="126">
                  <c:v>1932.8929999999998</c:v>
                </c:pt>
                <c:pt idx="127">
                  <c:v>1975.7190000000001</c:v>
                </c:pt>
                <c:pt idx="128">
                  <c:v>1854.9570000000001</c:v>
                </c:pt>
                <c:pt idx="129">
                  <c:v>1982.6659999999999</c:v>
                </c:pt>
                <c:pt idx="130">
                  <c:v>1868.2429999999999</c:v>
                </c:pt>
                <c:pt idx="131">
                  <c:v>1882.6439999999998</c:v>
                </c:pt>
                <c:pt idx="132">
                  <c:v>2123.4090000000001</c:v>
                </c:pt>
                <c:pt idx="133">
                  <c:v>2002.789</c:v>
                </c:pt>
                <c:pt idx="134">
                  <c:v>2219.163</c:v>
                </c:pt>
                <c:pt idx="135">
                  <c:v>2470.2379999999998</c:v>
                </c:pt>
                <c:pt idx="136">
                  <c:v>2782.634</c:v>
                </c:pt>
                <c:pt idx="137">
                  <c:v>2970.9969999999998</c:v>
                </c:pt>
                <c:pt idx="138">
                  <c:v>3117.0039999999999</c:v>
                </c:pt>
                <c:pt idx="139">
                  <c:v>3269.6109999999999</c:v>
                </c:pt>
                <c:pt idx="140">
                  <c:v>3347.54</c:v>
                </c:pt>
                <c:pt idx="141">
                  <c:v>3290.2979999999998</c:v>
                </c:pt>
                <c:pt idx="142">
                  <c:v>3429.9500000000007</c:v>
                </c:pt>
                <c:pt idx="143">
                  <c:v>3290.2859999999991</c:v>
                </c:pt>
                <c:pt idx="144">
                  <c:v>3351.13</c:v>
                </c:pt>
                <c:pt idx="145">
                  <c:v>3458.7279999999992</c:v>
                </c:pt>
                <c:pt idx="146">
                  <c:v>3620.0569999999998</c:v>
                </c:pt>
                <c:pt idx="147">
                  <c:v>3517.3009999999999</c:v>
                </c:pt>
                <c:pt idx="148">
                  <c:v>3840.9949999999999</c:v>
                </c:pt>
                <c:pt idx="149">
                  <c:v>3998.8029999999999</c:v>
                </c:pt>
                <c:pt idx="150">
                  <c:v>4231.2660000000014</c:v>
                </c:pt>
                <c:pt idx="151">
                  <c:v>4489.6530000000002</c:v>
                </c:pt>
                <c:pt idx="152">
                  <c:v>4678.5160000000014</c:v>
                </c:pt>
                <c:pt idx="153">
                  <c:v>4962.5360000000001</c:v>
                </c:pt>
                <c:pt idx="154">
                  <c:v>5125.509</c:v>
                </c:pt>
                <c:pt idx="155">
                  <c:v>2757.59</c:v>
                </c:pt>
                <c:pt idx="156">
                  <c:v>3078.4300000000007</c:v>
                </c:pt>
                <c:pt idx="157">
                  <c:v>3289.9500000000007</c:v>
                </c:pt>
                <c:pt idx="158">
                  <c:v>3377.56</c:v>
                </c:pt>
                <c:pt idx="159">
                  <c:v>3657.54</c:v>
                </c:pt>
                <c:pt idx="160">
                  <c:v>3840.57</c:v>
                </c:pt>
                <c:pt idx="161">
                  <c:v>4106.1100000000024</c:v>
                </c:pt>
                <c:pt idx="162">
                  <c:v>4549.75</c:v>
                </c:pt>
                <c:pt idx="163">
                  <c:v>4885.8200000000015</c:v>
                </c:pt>
                <c:pt idx="164">
                  <c:v>5011.43</c:v>
                </c:pt>
                <c:pt idx="165">
                  <c:v>5558.24</c:v>
                </c:pt>
                <c:pt idx="166">
                  <c:v>5693.96</c:v>
                </c:pt>
                <c:pt idx="167">
                  <c:v>6058.1500000000015</c:v>
                </c:pt>
                <c:pt idx="168">
                  <c:v>6580.52</c:v>
                </c:pt>
                <c:pt idx="169">
                  <c:v>6248.13</c:v>
                </c:pt>
                <c:pt idx="170">
                  <c:v>6709.44</c:v>
                </c:pt>
                <c:pt idx="171">
                  <c:v>7181.25</c:v>
                </c:pt>
                <c:pt idx="172">
                  <c:v>7714.85</c:v>
                </c:pt>
                <c:pt idx="173">
                  <c:v>7491.98</c:v>
                </c:pt>
                <c:pt idx="174">
                  <c:v>7218.7700000000013</c:v>
                </c:pt>
                <c:pt idx="175">
                  <c:v>7750.3600000000015</c:v>
                </c:pt>
                <c:pt idx="176">
                  <c:v>7350.6600000000017</c:v>
                </c:pt>
                <c:pt idx="177">
                  <c:v>7803.01</c:v>
                </c:pt>
                <c:pt idx="178">
                  <c:v>8255.2300000000032</c:v>
                </c:pt>
                <c:pt idx="179">
                  <c:v>9335.5300000000007</c:v>
                </c:pt>
                <c:pt idx="180">
                  <c:v>11116.96</c:v>
                </c:pt>
                <c:pt idx="181">
                  <c:v>12116.07</c:v>
                </c:pt>
                <c:pt idx="182">
                  <c:v>12891.57</c:v>
                </c:pt>
                <c:pt idx="183">
                  <c:v>13107.55</c:v>
                </c:pt>
                <c:pt idx="184">
                  <c:v>12460.79</c:v>
                </c:pt>
                <c:pt idx="185">
                  <c:v>13577.11</c:v>
                </c:pt>
              </c:numCache>
            </c:numRef>
          </c:xVal>
          <c:yVal>
            <c:numRef>
              <c:f>Sheet2!$D$375:$D$560</c:f>
              <c:numCache>
                <c:formatCode>General</c:formatCode>
                <c:ptCount val="186"/>
                <c:pt idx="0">
                  <c:v>76.7</c:v>
                </c:pt>
                <c:pt idx="1">
                  <c:v>72</c:v>
                </c:pt>
                <c:pt idx="2">
                  <c:v>68</c:v>
                </c:pt>
                <c:pt idx="3">
                  <c:v>64.099999999999994</c:v>
                </c:pt>
                <c:pt idx="4">
                  <c:v>61.8</c:v>
                </c:pt>
                <c:pt idx="5">
                  <c:v>58.9</c:v>
                </c:pt>
                <c:pt idx="6">
                  <c:v>56.6</c:v>
                </c:pt>
                <c:pt idx="7">
                  <c:v>54.5</c:v>
                </c:pt>
                <c:pt idx="8">
                  <c:v>53</c:v>
                </c:pt>
                <c:pt idx="9">
                  <c:v>51.3</c:v>
                </c:pt>
                <c:pt idx="10">
                  <c:v>49.5</c:v>
                </c:pt>
                <c:pt idx="11">
                  <c:v>47.7</c:v>
                </c:pt>
                <c:pt idx="12">
                  <c:v>46</c:v>
                </c:pt>
                <c:pt idx="13">
                  <c:v>44.2</c:v>
                </c:pt>
                <c:pt idx="14">
                  <c:v>42.3</c:v>
                </c:pt>
                <c:pt idx="15">
                  <c:v>40.700000000000003</c:v>
                </c:pt>
                <c:pt idx="16">
                  <c:v>39.1</c:v>
                </c:pt>
                <c:pt idx="17">
                  <c:v>38.4</c:v>
                </c:pt>
                <c:pt idx="18">
                  <c:v>37.9</c:v>
                </c:pt>
                <c:pt idx="19">
                  <c:v>36.9</c:v>
                </c:pt>
                <c:pt idx="20">
                  <c:v>35.200000000000003</c:v>
                </c:pt>
                <c:pt idx="21">
                  <c:v>33.200000000000003</c:v>
                </c:pt>
                <c:pt idx="22">
                  <c:v>31.7</c:v>
                </c:pt>
                <c:pt idx="23">
                  <c:v>30.3</c:v>
                </c:pt>
                <c:pt idx="24">
                  <c:v>28.7</c:v>
                </c:pt>
                <c:pt idx="25">
                  <c:v>27.4</c:v>
                </c:pt>
                <c:pt idx="26">
                  <c:v>26.1</c:v>
                </c:pt>
                <c:pt idx="27">
                  <c:v>25</c:v>
                </c:pt>
                <c:pt idx="28">
                  <c:v>23.9</c:v>
                </c:pt>
                <c:pt idx="29">
                  <c:v>22.8</c:v>
                </c:pt>
                <c:pt idx="30">
                  <c:v>21.8</c:v>
                </c:pt>
                <c:pt idx="31">
                  <c:v>15.6</c:v>
                </c:pt>
                <c:pt idx="32">
                  <c:v>14.8</c:v>
                </c:pt>
                <c:pt idx="33">
                  <c:v>14.1</c:v>
                </c:pt>
                <c:pt idx="34">
                  <c:v>13.4</c:v>
                </c:pt>
                <c:pt idx="35">
                  <c:v>12.8</c:v>
                </c:pt>
                <c:pt idx="36">
                  <c:v>12.1</c:v>
                </c:pt>
                <c:pt idx="37">
                  <c:v>11.5</c:v>
                </c:pt>
                <c:pt idx="38">
                  <c:v>11</c:v>
                </c:pt>
                <c:pt idx="39">
                  <c:v>10.5</c:v>
                </c:pt>
                <c:pt idx="40">
                  <c:v>10.1</c:v>
                </c:pt>
                <c:pt idx="41">
                  <c:v>9.6</c:v>
                </c:pt>
                <c:pt idx="42">
                  <c:v>9.1</c:v>
                </c:pt>
                <c:pt idx="43">
                  <c:v>8.6</c:v>
                </c:pt>
                <c:pt idx="44">
                  <c:v>8.1</c:v>
                </c:pt>
                <c:pt idx="45">
                  <c:v>7.6</c:v>
                </c:pt>
                <c:pt idx="46">
                  <c:v>7.1</c:v>
                </c:pt>
                <c:pt idx="47">
                  <c:v>6.7</c:v>
                </c:pt>
                <c:pt idx="48">
                  <c:v>6.3</c:v>
                </c:pt>
                <c:pt idx="49">
                  <c:v>6.1</c:v>
                </c:pt>
                <c:pt idx="50">
                  <c:v>5.8</c:v>
                </c:pt>
                <c:pt idx="51">
                  <c:v>5.6</c:v>
                </c:pt>
                <c:pt idx="52">
                  <c:v>5.4</c:v>
                </c:pt>
                <c:pt idx="53">
                  <c:v>5.0999999999999996</c:v>
                </c:pt>
                <c:pt idx="54">
                  <c:v>4.9000000000000004</c:v>
                </c:pt>
                <c:pt idx="55">
                  <c:v>4.5999999999999996</c:v>
                </c:pt>
                <c:pt idx="56">
                  <c:v>4.4000000000000004</c:v>
                </c:pt>
                <c:pt idx="57">
                  <c:v>4.2</c:v>
                </c:pt>
                <c:pt idx="58">
                  <c:v>4.0999999999999996</c:v>
                </c:pt>
                <c:pt idx="59">
                  <c:v>3.9</c:v>
                </c:pt>
                <c:pt idx="60">
                  <c:v>3.7</c:v>
                </c:pt>
                <c:pt idx="61">
                  <c:v>3.6</c:v>
                </c:pt>
                <c:pt idx="62">
                  <c:v>48.1</c:v>
                </c:pt>
                <c:pt idx="63">
                  <c:v>45.9</c:v>
                </c:pt>
                <c:pt idx="64">
                  <c:v>43.9</c:v>
                </c:pt>
                <c:pt idx="65">
                  <c:v>42.1</c:v>
                </c:pt>
                <c:pt idx="66">
                  <c:v>40.300000000000004</c:v>
                </c:pt>
                <c:pt idx="67">
                  <c:v>38.4</c:v>
                </c:pt>
                <c:pt idx="68">
                  <c:v>36.800000000000004</c:v>
                </c:pt>
                <c:pt idx="69">
                  <c:v>35.300000000000004</c:v>
                </c:pt>
                <c:pt idx="70">
                  <c:v>34.1</c:v>
                </c:pt>
                <c:pt idx="71">
                  <c:v>33.200000000000003</c:v>
                </c:pt>
                <c:pt idx="72">
                  <c:v>32.200000000000003</c:v>
                </c:pt>
                <c:pt idx="73">
                  <c:v>31.2</c:v>
                </c:pt>
                <c:pt idx="74">
                  <c:v>30.5</c:v>
                </c:pt>
                <c:pt idx="75">
                  <c:v>29.8</c:v>
                </c:pt>
                <c:pt idx="76">
                  <c:v>29.1</c:v>
                </c:pt>
                <c:pt idx="77">
                  <c:v>28.2</c:v>
                </c:pt>
                <c:pt idx="78">
                  <c:v>27.5</c:v>
                </c:pt>
                <c:pt idx="79">
                  <c:v>26.7</c:v>
                </c:pt>
                <c:pt idx="80">
                  <c:v>26.1</c:v>
                </c:pt>
                <c:pt idx="81">
                  <c:v>25.3</c:v>
                </c:pt>
                <c:pt idx="82">
                  <c:v>24.6</c:v>
                </c:pt>
                <c:pt idx="83">
                  <c:v>23.9</c:v>
                </c:pt>
                <c:pt idx="84">
                  <c:v>23.2</c:v>
                </c:pt>
                <c:pt idx="85">
                  <c:v>22.6</c:v>
                </c:pt>
                <c:pt idx="86">
                  <c:v>21.9</c:v>
                </c:pt>
                <c:pt idx="87">
                  <c:v>21.3</c:v>
                </c:pt>
                <c:pt idx="88">
                  <c:v>20.7</c:v>
                </c:pt>
                <c:pt idx="89">
                  <c:v>20.100000000000001</c:v>
                </c:pt>
                <c:pt idx="90">
                  <c:v>19.5</c:v>
                </c:pt>
                <c:pt idx="91">
                  <c:v>18.899999999999999</c:v>
                </c:pt>
                <c:pt idx="92">
                  <c:v>18.399999999999999</c:v>
                </c:pt>
                <c:pt idx="93">
                  <c:v>38</c:v>
                </c:pt>
                <c:pt idx="94">
                  <c:v>37.5</c:v>
                </c:pt>
                <c:pt idx="95">
                  <c:v>36.800000000000004</c:v>
                </c:pt>
                <c:pt idx="96">
                  <c:v>36.200000000000003</c:v>
                </c:pt>
                <c:pt idx="97">
                  <c:v>35.5</c:v>
                </c:pt>
                <c:pt idx="98">
                  <c:v>35</c:v>
                </c:pt>
                <c:pt idx="99">
                  <c:v>34.200000000000003</c:v>
                </c:pt>
                <c:pt idx="100">
                  <c:v>33.4</c:v>
                </c:pt>
                <c:pt idx="101">
                  <c:v>32.800000000000004</c:v>
                </c:pt>
                <c:pt idx="102">
                  <c:v>31.9</c:v>
                </c:pt>
                <c:pt idx="103">
                  <c:v>31.2</c:v>
                </c:pt>
                <c:pt idx="104">
                  <c:v>30.5</c:v>
                </c:pt>
                <c:pt idx="105">
                  <c:v>29.7</c:v>
                </c:pt>
                <c:pt idx="106">
                  <c:v>29.2</c:v>
                </c:pt>
                <c:pt idx="107">
                  <c:v>28.4</c:v>
                </c:pt>
                <c:pt idx="108">
                  <c:v>27.8</c:v>
                </c:pt>
                <c:pt idx="109">
                  <c:v>27.1</c:v>
                </c:pt>
                <c:pt idx="110">
                  <c:v>26.3</c:v>
                </c:pt>
                <c:pt idx="111">
                  <c:v>25.7</c:v>
                </c:pt>
                <c:pt idx="112">
                  <c:v>25.1</c:v>
                </c:pt>
                <c:pt idx="113">
                  <c:v>24.5</c:v>
                </c:pt>
                <c:pt idx="114">
                  <c:v>23.7</c:v>
                </c:pt>
                <c:pt idx="115">
                  <c:v>23.2</c:v>
                </c:pt>
                <c:pt idx="116">
                  <c:v>22.5</c:v>
                </c:pt>
                <c:pt idx="117">
                  <c:v>22</c:v>
                </c:pt>
                <c:pt idx="118">
                  <c:v>21.4</c:v>
                </c:pt>
                <c:pt idx="119">
                  <c:v>21</c:v>
                </c:pt>
                <c:pt idx="120">
                  <c:v>20.7</c:v>
                </c:pt>
                <c:pt idx="121">
                  <c:v>19.899999999999999</c:v>
                </c:pt>
                <c:pt idx="122">
                  <c:v>19.399999999999999</c:v>
                </c:pt>
                <c:pt idx="123">
                  <c:v>18.8</c:v>
                </c:pt>
                <c:pt idx="124">
                  <c:v>54.4</c:v>
                </c:pt>
                <c:pt idx="125">
                  <c:v>51.9</c:v>
                </c:pt>
                <c:pt idx="126">
                  <c:v>49.2</c:v>
                </c:pt>
                <c:pt idx="127">
                  <c:v>46.8</c:v>
                </c:pt>
                <c:pt idx="128">
                  <c:v>44.4</c:v>
                </c:pt>
                <c:pt idx="129">
                  <c:v>41.6</c:v>
                </c:pt>
                <c:pt idx="130">
                  <c:v>39.1</c:v>
                </c:pt>
                <c:pt idx="131">
                  <c:v>37</c:v>
                </c:pt>
                <c:pt idx="132">
                  <c:v>34.9</c:v>
                </c:pt>
                <c:pt idx="133">
                  <c:v>32.9</c:v>
                </c:pt>
                <c:pt idx="134">
                  <c:v>31.1</c:v>
                </c:pt>
                <c:pt idx="135">
                  <c:v>29.4</c:v>
                </c:pt>
                <c:pt idx="136">
                  <c:v>27.9</c:v>
                </c:pt>
                <c:pt idx="137">
                  <c:v>26.4</c:v>
                </c:pt>
                <c:pt idx="138">
                  <c:v>24.9</c:v>
                </c:pt>
                <c:pt idx="139">
                  <c:v>23.8</c:v>
                </c:pt>
                <c:pt idx="140">
                  <c:v>22.7</c:v>
                </c:pt>
                <c:pt idx="141">
                  <c:v>21.7</c:v>
                </c:pt>
                <c:pt idx="142">
                  <c:v>21</c:v>
                </c:pt>
                <c:pt idx="143">
                  <c:v>20.3</c:v>
                </c:pt>
                <c:pt idx="144">
                  <c:v>19.5</c:v>
                </c:pt>
                <c:pt idx="145">
                  <c:v>18.899999999999999</c:v>
                </c:pt>
                <c:pt idx="146">
                  <c:v>18.2</c:v>
                </c:pt>
                <c:pt idx="147">
                  <c:v>17.600000000000001</c:v>
                </c:pt>
                <c:pt idx="148">
                  <c:v>17</c:v>
                </c:pt>
                <c:pt idx="149">
                  <c:v>16.399999999999999</c:v>
                </c:pt>
                <c:pt idx="150">
                  <c:v>15.9</c:v>
                </c:pt>
                <c:pt idx="151">
                  <c:v>15.3</c:v>
                </c:pt>
                <c:pt idx="152">
                  <c:v>14.8</c:v>
                </c:pt>
                <c:pt idx="153">
                  <c:v>14.3</c:v>
                </c:pt>
                <c:pt idx="154">
                  <c:v>13.8</c:v>
                </c:pt>
                <c:pt idx="155">
                  <c:v>102.2</c:v>
                </c:pt>
                <c:pt idx="156">
                  <c:v>99</c:v>
                </c:pt>
                <c:pt idx="157">
                  <c:v>96.4</c:v>
                </c:pt>
                <c:pt idx="158">
                  <c:v>92.1</c:v>
                </c:pt>
                <c:pt idx="159">
                  <c:v>87.5</c:v>
                </c:pt>
                <c:pt idx="160">
                  <c:v>83.4</c:v>
                </c:pt>
                <c:pt idx="161">
                  <c:v>79.900000000000006</c:v>
                </c:pt>
                <c:pt idx="162">
                  <c:v>75.5</c:v>
                </c:pt>
                <c:pt idx="163">
                  <c:v>71.900000000000006</c:v>
                </c:pt>
                <c:pt idx="164">
                  <c:v>68.8</c:v>
                </c:pt>
                <c:pt idx="165">
                  <c:v>66.2</c:v>
                </c:pt>
                <c:pt idx="166">
                  <c:v>63.5</c:v>
                </c:pt>
                <c:pt idx="167">
                  <c:v>60.8</c:v>
                </c:pt>
                <c:pt idx="168">
                  <c:v>58.4</c:v>
                </c:pt>
                <c:pt idx="169">
                  <c:v>55.1</c:v>
                </c:pt>
                <c:pt idx="170">
                  <c:v>51.4</c:v>
                </c:pt>
                <c:pt idx="171">
                  <c:v>48.3</c:v>
                </c:pt>
                <c:pt idx="172">
                  <c:v>44.7</c:v>
                </c:pt>
                <c:pt idx="173">
                  <c:v>40.9</c:v>
                </c:pt>
                <c:pt idx="174">
                  <c:v>37.4</c:v>
                </c:pt>
                <c:pt idx="175">
                  <c:v>34.1</c:v>
                </c:pt>
                <c:pt idx="176">
                  <c:v>31.3</c:v>
                </c:pt>
                <c:pt idx="177">
                  <c:v>28.5</c:v>
                </c:pt>
                <c:pt idx="178">
                  <c:v>26.1</c:v>
                </c:pt>
                <c:pt idx="179">
                  <c:v>23.7</c:v>
                </c:pt>
                <c:pt idx="180">
                  <c:v>21.5</c:v>
                </c:pt>
                <c:pt idx="181">
                  <c:v>19.600000000000001</c:v>
                </c:pt>
                <c:pt idx="182">
                  <c:v>18</c:v>
                </c:pt>
                <c:pt idx="183">
                  <c:v>16.3</c:v>
                </c:pt>
                <c:pt idx="184">
                  <c:v>15</c:v>
                </c:pt>
                <c:pt idx="185">
                  <c:v>13.7</c:v>
                </c:pt>
              </c:numCache>
            </c:numRef>
          </c:yVal>
        </c:ser>
        <c:axId val="121634816"/>
        <c:axId val="121636736"/>
      </c:scatterChart>
      <c:valAx>
        <c:axId val="121634816"/>
        <c:scaling>
          <c:orientation val="minMax"/>
        </c:scaling>
        <c:axPos val="b"/>
        <c:title>
          <c:tx>
            <c:rich>
              <a:bodyPr/>
              <a:lstStyle/>
              <a:p>
                <a:pPr>
                  <a:defRPr/>
                </a:pPr>
                <a:r>
                  <a:rPr lang="en-US" sz="2100"/>
                  <a:t>GDP PPP</a:t>
                </a:r>
              </a:p>
            </c:rich>
          </c:tx>
        </c:title>
        <c:numFmt formatCode="General" sourceLinked="1"/>
        <c:tickLblPos val="nextTo"/>
        <c:crossAx val="121636736"/>
        <c:crosses val="autoZero"/>
        <c:crossBetween val="midCat"/>
      </c:valAx>
      <c:valAx>
        <c:axId val="121636736"/>
        <c:scaling>
          <c:orientation val="minMax"/>
        </c:scaling>
        <c:axPos val="l"/>
        <c:majorGridlines/>
        <c:title>
          <c:tx>
            <c:rich>
              <a:bodyPr rot="-5400000" vert="horz"/>
              <a:lstStyle/>
              <a:p>
                <a:pPr>
                  <a:defRPr/>
                </a:pPr>
                <a:r>
                  <a:rPr lang="en-US" sz="1400"/>
                  <a:t>INFANT-MORTALITY RATE (PER 1000)</a:t>
                </a:r>
              </a:p>
            </c:rich>
          </c:tx>
        </c:title>
        <c:numFmt formatCode="General" sourceLinked="1"/>
        <c:tickLblPos val="nextTo"/>
        <c:crossAx val="121634816"/>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Bruger</cp:lastModifiedBy>
  <cp:revision>2</cp:revision>
  <dcterms:created xsi:type="dcterms:W3CDTF">2014-04-04T12:29:00Z</dcterms:created>
  <dcterms:modified xsi:type="dcterms:W3CDTF">2014-04-04T12:29:00Z</dcterms:modified>
</cp:coreProperties>
</file>