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DA" w:rsidRPr="0020339C" w:rsidRDefault="00312260" w:rsidP="00312260">
      <w:pPr>
        <w:autoSpaceDE w:val="0"/>
        <w:autoSpaceDN w:val="0"/>
        <w:adjustRightInd w:val="0"/>
        <w:spacing w:after="0" w:line="240" w:lineRule="auto"/>
        <w:rPr>
          <w:rFonts w:ascii="High Tower Text" w:hAnsi="High Tower Text" w:cs="Helvetica-Bold"/>
          <w:b/>
          <w:bCs/>
          <w:sz w:val="40"/>
          <w:szCs w:val="40"/>
        </w:rPr>
      </w:pPr>
      <w:r w:rsidRPr="0020339C">
        <w:rPr>
          <w:rFonts w:ascii="High Tower Text" w:hAnsi="High Tower Text"/>
        </w:rPr>
        <w:t xml:space="preserve"> </w:t>
      </w:r>
      <w:r w:rsidRPr="0020339C">
        <w:rPr>
          <w:rFonts w:ascii="High Tower Text" w:hAnsi="High Tower Text" w:cs="Helvetica-Bold"/>
          <w:b/>
          <w:bCs/>
          <w:sz w:val="40"/>
          <w:szCs w:val="40"/>
        </w:rPr>
        <w:t xml:space="preserve">Correlation between Murder and poverty rate in </w:t>
      </w:r>
      <w:r w:rsidRPr="0020339C">
        <w:rPr>
          <w:rFonts w:ascii="High Tower Text" w:hAnsi="High Tower Text" w:cs="Helvetica-Bold"/>
          <w:b/>
          <w:bCs/>
          <w:sz w:val="40"/>
          <w:szCs w:val="40"/>
        </w:rPr>
        <w:tab/>
      </w:r>
      <w:r w:rsidRPr="0020339C">
        <w:rPr>
          <w:rFonts w:ascii="High Tower Text" w:hAnsi="High Tower Text" w:cs="Helvetica-Bold"/>
          <w:b/>
          <w:bCs/>
          <w:sz w:val="40"/>
          <w:szCs w:val="40"/>
        </w:rPr>
        <w:tab/>
      </w:r>
      <w:r w:rsidRPr="0020339C">
        <w:rPr>
          <w:rFonts w:ascii="High Tower Text" w:hAnsi="High Tower Text" w:cs="Helvetica-Bold"/>
          <w:b/>
          <w:bCs/>
          <w:sz w:val="40"/>
          <w:szCs w:val="40"/>
        </w:rPr>
        <w:tab/>
      </w:r>
      <w:r w:rsidRPr="0020339C">
        <w:rPr>
          <w:rFonts w:ascii="High Tower Text" w:hAnsi="High Tower Text" w:cs="Helvetica-Bold"/>
          <w:b/>
          <w:bCs/>
          <w:sz w:val="40"/>
          <w:szCs w:val="40"/>
        </w:rPr>
        <w:tab/>
      </w:r>
      <w:r w:rsidRPr="0020339C">
        <w:rPr>
          <w:rFonts w:ascii="High Tower Text" w:hAnsi="High Tower Text" w:cs="Helvetica-Bold"/>
          <w:b/>
          <w:bCs/>
          <w:sz w:val="40"/>
          <w:szCs w:val="40"/>
        </w:rPr>
        <w:tab/>
        <w:t xml:space="preserve">the United Stated </w:t>
      </w:r>
    </w:p>
    <w:p w:rsidR="00312260" w:rsidRDefault="00312260" w:rsidP="00312260">
      <w:pPr>
        <w:autoSpaceDE w:val="0"/>
        <w:autoSpaceDN w:val="0"/>
        <w:adjustRightInd w:val="0"/>
        <w:spacing w:after="0" w:line="240" w:lineRule="auto"/>
        <w:rPr>
          <w:rFonts w:ascii="Helvetica-Bold" w:hAnsi="Helvetica-Bold" w:cs="Helvetica-Bold"/>
          <w:b/>
          <w:bCs/>
          <w:sz w:val="40"/>
          <w:szCs w:val="40"/>
        </w:rPr>
      </w:pPr>
    </w:p>
    <w:p w:rsidR="00312260" w:rsidRDefault="00312260" w:rsidP="00312260">
      <w:pPr>
        <w:autoSpaceDE w:val="0"/>
        <w:autoSpaceDN w:val="0"/>
        <w:adjustRightInd w:val="0"/>
        <w:spacing w:after="0" w:line="240" w:lineRule="auto"/>
        <w:rPr>
          <w:rFonts w:ascii="Helvetica-Bold" w:hAnsi="Helvetica-Bold" w:cs="Helvetica-Bold"/>
          <w:b/>
          <w:bCs/>
          <w:sz w:val="40"/>
          <w:szCs w:val="40"/>
        </w:rPr>
      </w:pPr>
    </w:p>
    <w:p w:rsidR="00312260" w:rsidRPr="0020339C" w:rsidRDefault="00312260" w:rsidP="00312260">
      <w:pPr>
        <w:autoSpaceDE w:val="0"/>
        <w:autoSpaceDN w:val="0"/>
        <w:adjustRightInd w:val="0"/>
        <w:spacing w:after="0" w:line="240" w:lineRule="auto"/>
        <w:rPr>
          <w:rFonts w:ascii="High Tower Text" w:hAnsi="High Tower Text" w:cs="Helvetica-Bold"/>
          <w:b/>
          <w:bCs/>
          <w:sz w:val="32"/>
          <w:szCs w:val="32"/>
        </w:rPr>
      </w:pPr>
      <w:r w:rsidRPr="0020339C">
        <w:rPr>
          <w:rFonts w:ascii="High Tower Text" w:hAnsi="High Tower Text" w:cs="Helvetica-Bold"/>
          <w:b/>
          <w:bCs/>
          <w:sz w:val="32"/>
          <w:szCs w:val="32"/>
        </w:rPr>
        <w:t>Introduction</w:t>
      </w:r>
    </w:p>
    <w:p w:rsidR="00312260" w:rsidRPr="00C2435A" w:rsidRDefault="00312260" w:rsidP="00312260">
      <w:pPr>
        <w:autoSpaceDE w:val="0"/>
        <w:autoSpaceDN w:val="0"/>
        <w:adjustRightInd w:val="0"/>
        <w:spacing w:after="0" w:line="240" w:lineRule="auto"/>
        <w:rPr>
          <w:rFonts w:ascii="High Tower Text" w:hAnsi="High Tower Text" w:cs="Helvetica-Bold"/>
          <w:b/>
          <w:bCs/>
          <w:sz w:val="32"/>
          <w:szCs w:val="32"/>
        </w:rPr>
      </w:pPr>
    </w:p>
    <w:p w:rsidR="00312260" w:rsidRDefault="00C2435A" w:rsidP="00C2435A">
      <w:pPr>
        <w:autoSpaceDE w:val="0"/>
        <w:autoSpaceDN w:val="0"/>
        <w:adjustRightInd w:val="0"/>
        <w:spacing w:after="0" w:line="240" w:lineRule="auto"/>
        <w:jc w:val="both"/>
        <w:rPr>
          <w:rFonts w:ascii="High Tower Text" w:hAnsi="High Tower Text" w:cs="Helvetica-Bold"/>
          <w:bCs/>
          <w:sz w:val="28"/>
          <w:szCs w:val="28"/>
        </w:rPr>
      </w:pPr>
      <w:r w:rsidRPr="00C2435A">
        <w:rPr>
          <w:rFonts w:ascii="High Tower Text" w:hAnsi="High Tower Text" w:cs="Helvetica-Bold"/>
          <w:bCs/>
          <w:sz w:val="28"/>
          <w:szCs w:val="28"/>
        </w:rPr>
        <w:t>It is often assume</w:t>
      </w:r>
      <w:r w:rsidR="0020339C">
        <w:rPr>
          <w:rFonts w:ascii="High Tower Text" w:hAnsi="High Tower Text" w:cs="Helvetica-Bold"/>
          <w:bCs/>
          <w:sz w:val="28"/>
          <w:szCs w:val="28"/>
        </w:rPr>
        <w:t>d</w:t>
      </w:r>
      <w:r w:rsidRPr="00C2435A">
        <w:rPr>
          <w:rFonts w:ascii="High Tower Text" w:hAnsi="High Tower Text" w:cs="Helvetica-Bold"/>
          <w:bCs/>
          <w:sz w:val="28"/>
          <w:szCs w:val="28"/>
        </w:rPr>
        <w:t xml:space="preserve"> that poverty and murder are strongly related. This paper focuses on the rate of murder and poverty in the United States for a period of 12 years. In order to make the study more efficient a sample of 21 states was taken. The states included in this study are New Jersey, Minnesota</w:t>
      </w:r>
      <w:r>
        <w:rPr>
          <w:rFonts w:ascii="High Tower Text" w:hAnsi="High Tower Text" w:cs="Helvetica-Bold"/>
          <w:bCs/>
          <w:sz w:val="28"/>
          <w:szCs w:val="28"/>
        </w:rPr>
        <w:t xml:space="preserve">, </w:t>
      </w:r>
      <w:r w:rsidRPr="00C2435A">
        <w:rPr>
          <w:rFonts w:ascii="High Tower Text" w:hAnsi="High Tower Text" w:cs="Helvetica-Bold"/>
          <w:bCs/>
          <w:sz w:val="28"/>
          <w:szCs w:val="28"/>
        </w:rPr>
        <w:t>Colorado,Alaska,Florida,Ohio,Michigan,California,NewYork,Tennessee,Alabama,Texas,Kent</w:t>
      </w:r>
      <w:r w:rsidR="0020339C">
        <w:rPr>
          <w:rFonts w:ascii="High Tower Text" w:hAnsi="High Tower Text" w:cs="Helvetica-Bold"/>
          <w:bCs/>
          <w:sz w:val="28"/>
          <w:szCs w:val="28"/>
        </w:rPr>
        <w:t xml:space="preserve">ucky,Georgia,Pennsylvania,North </w:t>
      </w:r>
      <w:r w:rsidRPr="00C2435A">
        <w:rPr>
          <w:rFonts w:ascii="High Tower Text" w:hAnsi="High Tower Text" w:cs="Helvetica-Bold"/>
          <w:bCs/>
          <w:sz w:val="28"/>
          <w:szCs w:val="28"/>
        </w:rPr>
        <w:t>Carolina, South Carolina, Arizona, Montana, Virginia,</w:t>
      </w:r>
      <w:r>
        <w:rPr>
          <w:rFonts w:ascii="High Tower Text" w:hAnsi="High Tower Text" w:cs="Helvetica-Bold"/>
          <w:bCs/>
          <w:sz w:val="28"/>
          <w:szCs w:val="28"/>
        </w:rPr>
        <w:t xml:space="preserve"> </w:t>
      </w:r>
      <w:r w:rsidRPr="00C2435A">
        <w:rPr>
          <w:rFonts w:ascii="High Tower Text" w:hAnsi="High Tower Text" w:cs="Helvetica-Bold"/>
          <w:bCs/>
          <w:sz w:val="28"/>
          <w:szCs w:val="28"/>
        </w:rPr>
        <w:t>New Mexico</w:t>
      </w:r>
      <w:r w:rsidR="0020339C">
        <w:rPr>
          <w:rFonts w:ascii="High Tower Text" w:hAnsi="High Tower Text" w:cs="Helvetica-Bold"/>
          <w:bCs/>
          <w:sz w:val="28"/>
          <w:szCs w:val="28"/>
        </w:rPr>
        <w:t>.</w:t>
      </w:r>
    </w:p>
    <w:p w:rsidR="0020339C" w:rsidRPr="0020339C" w:rsidRDefault="0020339C" w:rsidP="00C2435A">
      <w:pPr>
        <w:autoSpaceDE w:val="0"/>
        <w:autoSpaceDN w:val="0"/>
        <w:adjustRightInd w:val="0"/>
        <w:spacing w:after="0" w:line="240" w:lineRule="auto"/>
        <w:jc w:val="both"/>
        <w:rPr>
          <w:rFonts w:ascii="Harrington" w:hAnsi="Harrington" w:cs="Helvetica-Bold"/>
          <w:b/>
          <w:bCs/>
          <w:sz w:val="28"/>
          <w:szCs w:val="28"/>
        </w:rPr>
      </w:pPr>
    </w:p>
    <w:p w:rsidR="0020339C" w:rsidRDefault="0020339C" w:rsidP="0020339C">
      <w:pPr>
        <w:autoSpaceDE w:val="0"/>
        <w:autoSpaceDN w:val="0"/>
        <w:adjustRightInd w:val="0"/>
        <w:spacing w:after="0" w:line="240" w:lineRule="auto"/>
        <w:rPr>
          <w:rFonts w:ascii="High Tower Text" w:hAnsi="High Tower Text" w:cs="Helvetica-Bold"/>
          <w:b/>
          <w:bCs/>
          <w:sz w:val="28"/>
          <w:szCs w:val="28"/>
        </w:rPr>
      </w:pPr>
      <w:r>
        <w:rPr>
          <w:rFonts w:ascii="High Tower Text" w:hAnsi="High Tower Text" w:cs="Helvetica-Bold"/>
          <w:b/>
          <w:bCs/>
          <w:sz w:val="28"/>
          <w:szCs w:val="28"/>
        </w:rPr>
        <w:t xml:space="preserve">Methods </w:t>
      </w:r>
    </w:p>
    <w:p w:rsidR="0020339C" w:rsidRDefault="0020339C" w:rsidP="0020339C">
      <w:pPr>
        <w:autoSpaceDE w:val="0"/>
        <w:autoSpaceDN w:val="0"/>
        <w:adjustRightInd w:val="0"/>
        <w:spacing w:after="0" w:line="240" w:lineRule="auto"/>
        <w:rPr>
          <w:rFonts w:ascii="High Tower Text" w:hAnsi="High Tower Text" w:cs="Helvetica-Bold"/>
          <w:b/>
          <w:bCs/>
          <w:sz w:val="28"/>
          <w:szCs w:val="28"/>
        </w:rPr>
      </w:pPr>
    </w:p>
    <w:p w:rsidR="0020339C" w:rsidRDefault="0020339C" w:rsidP="0020339C">
      <w:pPr>
        <w:autoSpaceDE w:val="0"/>
        <w:autoSpaceDN w:val="0"/>
        <w:adjustRightInd w:val="0"/>
        <w:spacing w:after="0" w:line="240" w:lineRule="auto"/>
        <w:rPr>
          <w:rFonts w:ascii="High Tower Text" w:hAnsi="High Tower Text" w:cs="Helvetica-Bold"/>
          <w:b/>
          <w:bCs/>
          <w:sz w:val="28"/>
          <w:szCs w:val="28"/>
        </w:rPr>
      </w:pPr>
      <w:r>
        <w:rPr>
          <w:rFonts w:ascii="High Tower Text" w:hAnsi="High Tower Text" w:cs="Helvetica-Bold"/>
          <w:bCs/>
          <w:sz w:val="28"/>
          <w:szCs w:val="28"/>
        </w:rPr>
        <w:t>Data were collected on murder and poverty rates in the United Sta</w:t>
      </w:r>
      <w:r w:rsidR="00B9530F">
        <w:rPr>
          <w:rFonts w:ascii="High Tower Text" w:hAnsi="High Tower Text" w:cs="Helvetica-Bold"/>
          <w:bCs/>
          <w:sz w:val="28"/>
          <w:szCs w:val="28"/>
        </w:rPr>
        <w:t xml:space="preserve">tes from 1999 to 2011. The data </w:t>
      </w:r>
      <w:r w:rsidR="00912317">
        <w:rPr>
          <w:rFonts w:ascii="High Tower Text" w:hAnsi="High Tower Text" w:cs="Helvetica-Bold"/>
          <w:bCs/>
          <w:sz w:val="28"/>
          <w:szCs w:val="28"/>
        </w:rPr>
        <w:t>was collected from Table 1 Crime in the United States 1992-2011 published by the FBI. We decided to calculate the correlation coefficient and the linear regression of the 21 states to see if poverty and murder rates were related.</w:t>
      </w:r>
      <w:r w:rsidR="00676834">
        <w:rPr>
          <w:rFonts w:ascii="High Tower Text" w:hAnsi="High Tower Text" w:cs="Helvetica-Bold"/>
          <w:bCs/>
          <w:sz w:val="28"/>
          <w:szCs w:val="28"/>
        </w:rPr>
        <w:br/>
      </w:r>
      <w:r w:rsidR="00676834">
        <w:rPr>
          <w:rFonts w:ascii="High Tower Text" w:hAnsi="High Tower Text" w:cs="Helvetica-Bold"/>
          <w:bCs/>
          <w:sz w:val="28"/>
          <w:szCs w:val="28"/>
        </w:rPr>
        <w:tab/>
      </w:r>
      <w:r w:rsidR="00912317">
        <w:rPr>
          <w:rFonts w:ascii="High Tower Text" w:hAnsi="High Tower Text" w:cs="Helvetica-Bold"/>
          <w:bCs/>
          <w:sz w:val="28"/>
          <w:szCs w:val="28"/>
        </w:rPr>
        <w:t xml:space="preserve"> In order </w:t>
      </w:r>
      <w:r w:rsidR="00676834">
        <w:rPr>
          <w:rFonts w:ascii="High Tower Text" w:hAnsi="High Tower Text" w:cs="Helvetica-Bold"/>
          <w:bCs/>
          <w:sz w:val="28"/>
          <w:szCs w:val="28"/>
        </w:rPr>
        <w:t>to see if there is a comparison,</w:t>
      </w:r>
      <w:r w:rsidR="00912317">
        <w:rPr>
          <w:rFonts w:ascii="High Tower Text" w:hAnsi="High Tower Text" w:cs="Helvetica-Bold"/>
          <w:bCs/>
          <w:sz w:val="28"/>
          <w:szCs w:val="28"/>
        </w:rPr>
        <w:t xml:space="preserve"> we decided to centralize our study</w:t>
      </w:r>
      <w:r w:rsidR="00B9530F">
        <w:rPr>
          <w:rFonts w:ascii="High Tower Text" w:hAnsi="High Tower Text" w:cs="Helvetica-Bold"/>
          <w:bCs/>
          <w:sz w:val="28"/>
          <w:szCs w:val="28"/>
        </w:rPr>
        <w:t xml:space="preserve"> </w:t>
      </w:r>
      <w:r w:rsidR="00912317">
        <w:rPr>
          <w:rFonts w:ascii="High Tower Text" w:hAnsi="High Tower Text" w:cs="Helvetica-Bold"/>
          <w:bCs/>
          <w:sz w:val="28"/>
          <w:szCs w:val="28"/>
        </w:rPr>
        <w:t>in three states, Calif</w:t>
      </w:r>
      <w:r w:rsidR="00676834">
        <w:rPr>
          <w:rFonts w:ascii="High Tower Text" w:hAnsi="High Tower Text" w:cs="Helvetica-Bold"/>
          <w:bCs/>
          <w:sz w:val="28"/>
          <w:szCs w:val="28"/>
        </w:rPr>
        <w:t xml:space="preserve">ornia, New York and New Jersey. The data for poverty was collected for Los Angeles, CA, New York, NY and Pleasantville, NJ from index mundi for the years of 2006-2009. The data for murder was collected from city-data for the same three states for the years ranging from 1999 to 2011. </w:t>
      </w:r>
      <w:r w:rsidR="00BF62B6" w:rsidRPr="00BF62B6">
        <w:rPr>
          <w:rFonts w:ascii="High Tower Text" w:hAnsi="High Tower Text" w:cs="Helvetica-Bold"/>
          <w:bCs/>
          <w:sz w:val="28"/>
          <w:szCs w:val="28"/>
        </w:rPr>
        <w:t xml:space="preserve">We did the p-value test to see if poverty </w:t>
      </w:r>
      <w:r w:rsidR="00BF62B6">
        <w:rPr>
          <w:rFonts w:ascii="High Tower Text" w:hAnsi="High Tower Text" w:cs="Helvetica-Bold"/>
          <w:bCs/>
          <w:sz w:val="28"/>
          <w:szCs w:val="28"/>
        </w:rPr>
        <w:t xml:space="preserve">rates </w:t>
      </w:r>
      <w:r w:rsidR="00BF62B6" w:rsidRPr="00BF62B6">
        <w:rPr>
          <w:rFonts w:ascii="High Tower Text" w:hAnsi="High Tower Text" w:cs="Helvetica-Bold"/>
          <w:bCs/>
          <w:sz w:val="28"/>
          <w:szCs w:val="28"/>
        </w:rPr>
        <w:t>and murder rates are similar to each other</w:t>
      </w:r>
      <w:r w:rsidR="00BF62B6">
        <w:rPr>
          <w:rFonts w:ascii="High Tower Text" w:hAnsi="High Tower Text" w:cs="Helvetica-Bold"/>
          <w:bCs/>
          <w:sz w:val="28"/>
          <w:szCs w:val="28"/>
        </w:rPr>
        <w:t xml:space="preserve"> in the individual states. </w:t>
      </w:r>
      <w:r w:rsidR="00BF62B6">
        <w:rPr>
          <w:rFonts w:ascii="High Tower Text" w:hAnsi="High Tower Text" w:cs="Helvetica-Bold"/>
          <w:bCs/>
          <w:sz w:val="28"/>
          <w:szCs w:val="28"/>
        </w:rPr>
        <w:br/>
      </w:r>
      <w:r w:rsidR="00BF62B6">
        <w:rPr>
          <w:rFonts w:ascii="High Tower Text" w:hAnsi="High Tower Text" w:cs="Helvetica-Bold"/>
          <w:bCs/>
          <w:sz w:val="28"/>
          <w:szCs w:val="28"/>
        </w:rPr>
        <w:br/>
      </w:r>
      <w:r w:rsidR="00BF62B6">
        <w:rPr>
          <w:rFonts w:ascii="High Tower Text" w:hAnsi="High Tower Text" w:cs="Helvetica-Bold"/>
          <w:bCs/>
          <w:sz w:val="28"/>
          <w:szCs w:val="28"/>
        </w:rPr>
        <w:br/>
      </w:r>
      <w:r w:rsidR="00BF62B6">
        <w:rPr>
          <w:rFonts w:ascii="High Tower Text" w:hAnsi="High Tower Text" w:cs="Helvetica-Bold"/>
          <w:bCs/>
          <w:sz w:val="28"/>
          <w:szCs w:val="28"/>
        </w:rPr>
        <w:br/>
      </w:r>
      <w:r w:rsidR="00676834" w:rsidRPr="00676834">
        <w:rPr>
          <w:rFonts w:ascii="High Tower Text" w:hAnsi="High Tower Text" w:cs="Helvetica-Bold"/>
          <w:b/>
          <w:bCs/>
          <w:sz w:val="28"/>
          <w:szCs w:val="28"/>
        </w:rPr>
        <w:t xml:space="preserve">Results </w:t>
      </w:r>
    </w:p>
    <w:p w:rsidR="00676834" w:rsidRDefault="00676834" w:rsidP="0020339C">
      <w:pPr>
        <w:autoSpaceDE w:val="0"/>
        <w:autoSpaceDN w:val="0"/>
        <w:adjustRightInd w:val="0"/>
        <w:spacing w:after="0" w:line="240" w:lineRule="auto"/>
        <w:rPr>
          <w:rFonts w:ascii="High Tower Text" w:hAnsi="High Tower Text" w:cs="Helvetica-Bold"/>
          <w:b/>
          <w:bCs/>
          <w:sz w:val="28"/>
          <w:szCs w:val="28"/>
        </w:rPr>
      </w:pPr>
    </w:p>
    <w:p w:rsidR="00676834" w:rsidRDefault="00676834" w:rsidP="0020339C">
      <w:pPr>
        <w:autoSpaceDE w:val="0"/>
        <w:autoSpaceDN w:val="0"/>
        <w:adjustRightInd w:val="0"/>
        <w:spacing w:after="0" w:line="240" w:lineRule="auto"/>
        <w:rPr>
          <w:rFonts w:ascii="High Tower Text" w:hAnsi="High Tower Text" w:cs="Helvetica-Bold"/>
          <w:bCs/>
          <w:sz w:val="28"/>
          <w:szCs w:val="28"/>
        </w:rPr>
      </w:pPr>
      <w:r>
        <w:rPr>
          <w:rFonts w:ascii="High Tower Text" w:hAnsi="High Tower Text" w:cs="Helvetica-Bold"/>
          <w:bCs/>
          <w:sz w:val="28"/>
          <w:szCs w:val="28"/>
        </w:rPr>
        <w:t>The results for poverty and murder rates in the 21 states showed a weak positive correlation.</w:t>
      </w:r>
    </w:p>
    <w:p w:rsidR="00676834" w:rsidRDefault="00676834" w:rsidP="0020339C">
      <w:pPr>
        <w:autoSpaceDE w:val="0"/>
        <w:autoSpaceDN w:val="0"/>
        <w:adjustRightInd w:val="0"/>
        <w:spacing w:after="0" w:line="240" w:lineRule="auto"/>
        <w:rPr>
          <w:rFonts w:ascii="High Tower Text" w:hAnsi="High Tower Text" w:cs="Helvetica-Bold"/>
          <w:bCs/>
          <w:sz w:val="28"/>
          <w:szCs w:val="28"/>
        </w:rPr>
      </w:pPr>
    </w:p>
    <w:p w:rsidR="00676834" w:rsidRPr="00676834" w:rsidRDefault="00676834" w:rsidP="0020339C">
      <w:pPr>
        <w:autoSpaceDE w:val="0"/>
        <w:autoSpaceDN w:val="0"/>
        <w:adjustRightInd w:val="0"/>
        <w:spacing w:after="0" w:line="240" w:lineRule="auto"/>
        <w:rPr>
          <w:rFonts w:ascii="High Tower Text" w:hAnsi="High Tower Text" w:cs="Helvetica-Bold"/>
          <w:bCs/>
          <w:sz w:val="28"/>
          <w:szCs w:val="28"/>
        </w:rPr>
      </w:pPr>
    </w:p>
    <w:tbl>
      <w:tblPr>
        <w:tblStyle w:val="TableGrid"/>
        <w:tblW w:w="0" w:type="auto"/>
        <w:tblLook w:val="04A0"/>
      </w:tblPr>
      <w:tblGrid>
        <w:gridCol w:w="2740"/>
        <w:gridCol w:w="1355"/>
        <w:gridCol w:w="1200"/>
      </w:tblGrid>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lastRenderedPageBreak/>
              <w:t>Country</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Poverty Rate</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Murder Rate</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New Jersey</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9.5%</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3.7%</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Minnesota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11.1%</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1.5%</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Colorado</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12.4%</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3.2%</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 xml:space="preserve">Alaska </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12.1%</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3.2%</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Florida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14.6%</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5.5%</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Ohio</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13.5%</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5.0%</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Michigan</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14.2%</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6.3%</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California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15.5%</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5.4%</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New York</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15.9%</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4.0%</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Tennessee</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16.7%</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7.4%</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Alabama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16.8%</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7.1%</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Texas</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17.4%</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5.4%</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Kentucky</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17.1%</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4.3%</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Georgia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18.5%</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6.0%</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Pennsylvania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11.2%</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5.4%</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North Carolina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17.0%</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5.4%</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South Carolina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13.8%</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6.7%</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Arizona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21.3%</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5.5%</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Montana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13.5%</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3.2%</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Virginia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10.8%</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4.7%</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New Mexico</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17.9%</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10.0%</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Sum</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310.8%</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108.9%</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Mean</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14.8%</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5.2%</w:t>
            </w: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proofErr w:type="spellStart"/>
            <w:r w:rsidRPr="00800C67">
              <w:rPr>
                <w:rFonts w:ascii="High Tower Text" w:hAnsi="High Tower Text" w:cs="Helvetica-Bold"/>
                <w:bCs/>
                <w:sz w:val="24"/>
                <w:szCs w:val="28"/>
              </w:rPr>
              <w:t>Sxy</w:t>
            </w:r>
            <w:proofErr w:type="spellEnd"/>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0.005924</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proofErr w:type="spellStart"/>
            <w:r w:rsidRPr="00800C67">
              <w:rPr>
                <w:rFonts w:ascii="High Tower Text" w:hAnsi="High Tower Text" w:cs="Helvetica-Bold"/>
                <w:bCs/>
                <w:sz w:val="24"/>
                <w:szCs w:val="28"/>
              </w:rPr>
              <w:t>Sxx</w:t>
            </w:r>
            <w:proofErr w:type="spellEnd"/>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0.018032</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proofErr w:type="spellStart"/>
            <w:r w:rsidRPr="00800C67">
              <w:rPr>
                <w:rFonts w:ascii="High Tower Text" w:hAnsi="High Tower Text" w:cs="Helvetica-Bold"/>
                <w:bCs/>
                <w:sz w:val="24"/>
                <w:szCs w:val="28"/>
              </w:rPr>
              <w:t>Syy</w:t>
            </w:r>
            <w:proofErr w:type="spellEnd"/>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0.006640571</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r</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0.541365249</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b</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0.328527063</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p>
        </w:tc>
      </w:tr>
      <w:tr w:rsidR="00676834" w:rsidRPr="00676834">
        <w:trPr>
          <w:trHeight w:val="300"/>
        </w:trPr>
        <w:tc>
          <w:tcPr>
            <w:tcW w:w="274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a</w:t>
            </w:r>
          </w:p>
        </w:tc>
        <w:tc>
          <w:tcPr>
            <w:tcW w:w="1260" w:type="dxa"/>
            <w:noWrap/>
          </w:tcPr>
          <w:p w:rsidR="00676834" w:rsidRPr="00800C67" w:rsidRDefault="00676834" w:rsidP="00676834">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0.003235138</w:t>
            </w:r>
          </w:p>
        </w:tc>
        <w:tc>
          <w:tcPr>
            <w:tcW w:w="1200" w:type="dxa"/>
            <w:noWrap/>
          </w:tcPr>
          <w:p w:rsidR="00676834" w:rsidRPr="00800C67" w:rsidRDefault="00676834" w:rsidP="00676834">
            <w:pPr>
              <w:autoSpaceDE w:val="0"/>
              <w:autoSpaceDN w:val="0"/>
              <w:adjustRightInd w:val="0"/>
              <w:rPr>
                <w:rFonts w:ascii="High Tower Text" w:hAnsi="High Tower Text" w:cs="Helvetica-Bold"/>
                <w:bCs/>
                <w:sz w:val="24"/>
                <w:szCs w:val="28"/>
              </w:rPr>
            </w:pPr>
          </w:p>
        </w:tc>
      </w:tr>
    </w:tbl>
    <w:p w:rsidR="00676834" w:rsidRDefault="00676834" w:rsidP="0020339C">
      <w:pPr>
        <w:autoSpaceDE w:val="0"/>
        <w:autoSpaceDN w:val="0"/>
        <w:adjustRightInd w:val="0"/>
        <w:spacing w:after="0" w:line="240" w:lineRule="auto"/>
        <w:rPr>
          <w:rFonts w:ascii="High Tower Text" w:hAnsi="High Tower Text" w:cs="Helvetica-Bold"/>
          <w:bCs/>
          <w:sz w:val="28"/>
          <w:szCs w:val="28"/>
        </w:rPr>
      </w:pPr>
    </w:p>
    <w:p w:rsidR="000330E6" w:rsidRDefault="000330E6" w:rsidP="0020339C">
      <w:pPr>
        <w:autoSpaceDE w:val="0"/>
        <w:autoSpaceDN w:val="0"/>
        <w:adjustRightInd w:val="0"/>
        <w:spacing w:after="0" w:line="240" w:lineRule="auto"/>
        <w:rPr>
          <w:rFonts w:ascii="High Tower Text" w:hAnsi="High Tower Text" w:cs="Helvetica-Bold"/>
          <w:bCs/>
          <w:sz w:val="28"/>
          <w:szCs w:val="28"/>
        </w:rPr>
      </w:pPr>
    </w:p>
    <w:p w:rsidR="000330E6" w:rsidRDefault="000330E6" w:rsidP="0020339C">
      <w:pPr>
        <w:autoSpaceDE w:val="0"/>
        <w:autoSpaceDN w:val="0"/>
        <w:adjustRightInd w:val="0"/>
        <w:spacing w:after="0" w:line="240" w:lineRule="auto"/>
        <w:rPr>
          <w:rFonts w:ascii="High Tower Text" w:hAnsi="High Tower Text" w:cs="Helvetica-Bold"/>
          <w:bCs/>
          <w:sz w:val="28"/>
          <w:szCs w:val="28"/>
        </w:rPr>
      </w:pPr>
    </w:p>
    <w:p w:rsidR="000330E6" w:rsidRDefault="000330E6" w:rsidP="0020339C">
      <w:pPr>
        <w:autoSpaceDE w:val="0"/>
        <w:autoSpaceDN w:val="0"/>
        <w:adjustRightInd w:val="0"/>
        <w:spacing w:after="0" w:line="240" w:lineRule="auto"/>
        <w:rPr>
          <w:rFonts w:ascii="High Tower Text" w:hAnsi="High Tower Text" w:cs="Helvetica-Bold"/>
          <w:bCs/>
          <w:sz w:val="28"/>
          <w:szCs w:val="28"/>
        </w:rPr>
      </w:pPr>
    </w:p>
    <w:p w:rsidR="000330E6" w:rsidRDefault="000330E6" w:rsidP="0020339C">
      <w:pPr>
        <w:autoSpaceDE w:val="0"/>
        <w:autoSpaceDN w:val="0"/>
        <w:adjustRightInd w:val="0"/>
        <w:spacing w:after="0" w:line="240" w:lineRule="auto"/>
        <w:rPr>
          <w:rFonts w:ascii="High Tower Text" w:hAnsi="High Tower Text" w:cs="Helvetica-Bold"/>
          <w:bCs/>
          <w:sz w:val="28"/>
          <w:szCs w:val="28"/>
        </w:rPr>
      </w:pPr>
    </w:p>
    <w:p w:rsidR="000330E6" w:rsidRDefault="000330E6" w:rsidP="0020339C">
      <w:pPr>
        <w:autoSpaceDE w:val="0"/>
        <w:autoSpaceDN w:val="0"/>
        <w:adjustRightInd w:val="0"/>
        <w:spacing w:after="0" w:line="240" w:lineRule="auto"/>
        <w:rPr>
          <w:rFonts w:ascii="High Tower Text" w:hAnsi="High Tower Text" w:cs="Helvetica-Bold"/>
          <w:bCs/>
          <w:sz w:val="28"/>
          <w:szCs w:val="28"/>
        </w:rPr>
      </w:pPr>
      <w:r>
        <w:rPr>
          <w:noProof/>
          <w:lang w:eastAsia="zh-CN"/>
        </w:rPr>
        <w:lastRenderedPageBreak/>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330E6" w:rsidRDefault="000330E6" w:rsidP="0020339C">
      <w:pPr>
        <w:autoSpaceDE w:val="0"/>
        <w:autoSpaceDN w:val="0"/>
        <w:adjustRightInd w:val="0"/>
        <w:spacing w:after="0" w:line="240" w:lineRule="auto"/>
        <w:rPr>
          <w:rFonts w:ascii="High Tower Text" w:hAnsi="High Tower Text" w:cs="Helvetica-Bold"/>
          <w:bCs/>
          <w:sz w:val="28"/>
          <w:szCs w:val="28"/>
        </w:rPr>
      </w:pPr>
    </w:p>
    <w:p w:rsidR="000330E6" w:rsidRDefault="000330E6" w:rsidP="0020339C">
      <w:pPr>
        <w:autoSpaceDE w:val="0"/>
        <w:autoSpaceDN w:val="0"/>
        <w:adjustRightInd w:val="0"/>
        <w:spacing w:after="0" w:line="240" w:lineRule="auto"/>
        <w:rPr>
          <w:rFonts w:ascii="High Tower Text" w:hAnsi="High Tower Text" w:cs="Helvetica-Bold"/>
          <w:bCs/>
          <w:sz w:val="28"/>
          <w:szCs w:val="28"/>
        </w:rPr>
      </w:pPr>
      <w:r>
        <w:rPr>
          <w:rFonts w:ascii="High Tower Text" w:hAnsi="High Tower Text" w:cs="Helvetica-Bold"/>
          <w:bCs/>
          <w:sz w:val="28"/>
          <w:szCs w:val="28"/>
        </w:rPr>
        <w:t xml:space="preserve">The correlation coefficient shows that r is 0.541, which shows that there is a positive correlation, but it isn’t as strong as expected. As the linear regression line displays, the rates are not scattered far away from the line, but they aren’t that very close to the line either. The linear regression line has a positive slope, which proves the positive correlation. </w:t>
      </w:r>
      <w:r>
        <w:rPr>
          <w:rFonts w:ascii="High Tower Text" w:hAnsi="High Tower Text" w:cs="Helvetica-Bold"/>
          <w:bCs/>
          <w:sz w:val="28"/>
          <w:szCs w:val="28"/>
        </w:rPr>
        <w:br/>
      </w:r>
      <w:r>
        <w:rPr>
          <w:rFonts w:ascii="High Tower Text" w:hAnsi="High Tower Text" w:cs="Helvetica-Bold"/>
          <w:bCs/>
          <w:sz w:val="28"/>
          <w:szCs w:val="28"/>
        </w:rPr>
        <w:br/>
      </w:r>
      <w:r w:rsidR="00BF62B6">
        <w:rPr>
          <w:rFonts w:ascii="High Tower Text" w:hAnsi="High Tower Text" w:cs="Helvetica-Bold"/>
          <w:bCs/>
          <w:sz w:val="28"/>
          <w:szCs w:val="28"/>
        </w:rPr>
        <w:t xml:space="preserve">After calculating the p-value test we saw that New York and Los Angeles as well as New York and New Jersey they are the same at 1% level of significance but it is not the same at 5% level significance. On the other hand, New Jersey and Los Angeles aren’t the same at neither 1% nor 5% level of significance. </w:t>
      </w:r>
    </w:p>
    <w:p w:rsidR="00BF62B6" w:rsidRDefault="00BF62B6" w:rsidP="0020339C">
      <w:pPr>
        <w:autoSpaceDE w:val="0"/>
        <w:autoSpaceDN w:val="0"/>
        <w:adjustRightInd w:val="0"/>
        <w:spacing w:after="0" w:line="240" w:lineRule="auto"/>
        <w:rPr>
          <w:rFonts w:ascii="High Tower Text" w:hAnsi="High Tower Text" w:cs="Helvetica-Bold"/>
          <w:bCs/>
          <w:sz w:val="28"/>
          <w:szCs w:val="28"/>
        </w:rPr>
      </w:pPr>
    </w:p>
    <w:tbl>
      <w:tblPr>
        <w:tblStyle w:val="TableGrid"/>
        <w:tblW w:w="0" w:type="auto"/>
        <w:tblLook w:val="04A0"/>
      </w:tblPr>
      <w:tblGrid>
        <w:gridCol w:w="1847"/>
        <w:gridCol w:w="1148"/>
        <w:gridCol w:w="221"/>
        <w:gridCol w:w="1955"/>
        <w:gridCol w:w="1148"/>
        <w:gridCol w:w="221"/>
        <w:gridCol w:w="1563"/>
        <w:gridCol w:w="1473"/>
      </w:tblGrid>
      <w:tr w:rsidR="00BF62B6" w:rsidRPr="00BF62B6">
        <w:trPr>
          <w:trHeight w:val="300"/>
        </w:trPr>
        <w:tc>
          <w:tcPr>
            <w:tcW w:w="6840" w:type="dxa"/>
            <w:gridSpan w:val="6"/>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People of all ages in poverty - percent, 2006-2010 - (Percent)</w:t>
            </w:r>
          </w:p>
        </w:tc>
        <w:tc>
          <w:tcPr>
            <w:tcW w:w="1720"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620"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r>
      <w:tr w:rsidR="00BF62B6" w:rsidRPr="00BF62B6">
        <w:trPr>
          <w:trHeight w:val="300"/>
        </w:trPr>
        <w:tc>
          <w:tcPr>
            <w:tcW w:w="3293" w:type="dxa"/>
            <w:gridSpan w:val="2"/>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 xml:space="preserve">          New York</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3481" w:type="dxa"/>
            <w:gridSpan w:val="3"/>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Los Angeles, California</w:t>
            </w:r>
          </w:p>
        </w:tc>
        <w:tc>
          <w:tcPr>
            <w:tcW w:w="3340" w:type="dxa"/>
            <w:gridSpan w:val="2"/>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 xml:space="preserve">                           New Jersey</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County</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Value</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County</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Value</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 xml:space="preserve">County </w:t>
            </w:r>
          </w:p>
        </w:tc>
        <w:tc>
          <w:tcPr>
            <w:tcW w:w="1620"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 xml:space="preserve">Poverty Rate </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Albany</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12.60%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Alameda</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11.40%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Atlantic</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11.80%</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Allegany</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16.50%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Alpine</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13.10%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Bergen</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5.80%</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Bronx</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28.40%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Butte</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18.40%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Burlington</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5.50%</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Broome</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15.50%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Calaveras</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8.30%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Camden</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11.20%</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Cattaraugus</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16%</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Colusa</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15%</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Cape May</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9.20%</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Cayuga</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12.10%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Contra Costa</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9%</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Cumberland</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15.50%</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Chautauqua</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17.10%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Del Norte</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22%</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Essex</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14.60%</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Chemung</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15.20%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El Dorado</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7.90%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Gloucester</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7.10%</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Chenango</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13.60%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Fresno</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22.50%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Hudson</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15.10%</w:t>
            </w:r>
          </w:p>
        </w:tc>
      </w:tr>
      <w:tr w:rsidR="00BF62B6" w:rsidRPr="00BF62B6">
        <w:trPr>
          <w:trHeight w:val="315"/>
        </w:trPr>
        <w:tc>
          <w:tcPr>
            <w:tcW w:w="2036"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Clinton</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13.30%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2158"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Glenn</w:t>
            </w:r>
          </w:p>
        </w:tc>
        <w:tc>
          <w:tcPr>
            <w:tcW w:w="1257" w:type="dxa"/>
            <w:noWrap/>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17.50%</w:t>
            </w:r>
          </w:p>
        </w:tc>
        <w:tc>
          <w:tcPr>
            <w:tcW w:w="66" w:type="dxa"/>
            <w:noWrap/>
          </w:tcPr>
          <w:p w:rsidR="00BF62B6" w:rsidRPr="00800C67" w:rsidRDefault="00BF62B6" w:rsidP="00BF62B6">
            <w:pPr>
              <w:autoSpaceDE w:val="0"/>
              <w:autoSpaceDN w:val="0"/>
              <w:adjustRightInd w:val="0"/>
              <w:rPr>
                <w:rFonts w:ascii="High Tower Text" w:hAnsi="High Tower Text" w:cs="Helvetica-Bold"/>
                <w:bCs/>
                <w:sz w:val="24"/>
                <w:szCs w:val="28"/>
              </w:rPr>
            </w:pPr>
          </w:p>
        </w:tc>
        <w:tc>
          <w:tcPr>
            <w:tcW w:w="17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Hunterdon</w:t>
            </w:r>
          </w:p>
        </w:tc>
        <w:tc>
          <w:tcPr>
            <w:tcW w:w="1620" w:type="dxa"/>
          </w:tcPr>
          <w:p w:rsidR="00BF62B6" w:rsidRPr="00800C67" w:rsidRDefault="00BF62B6" w:rsidP="00BF62B6">
            <w:pPr>
              <w:autoSpaceDE w:val="0"/>
              <w:autoSpaceDN w:val="0"/>
              <w:adjustRightInd w:val="0"/>
              <w:rPr>
                <w:rFonts w:ascii="High Tower Text" w:hAnsi="High Tower Text" w:cs="Helvetica-Bold"/>
                <w:bCs/>
                <w:sz w:val="24"/>
                <w:szCs w:val="28"/>
              </w:rPr>
            </w:pPr>
            <w:r w:rsidRPr="00800C67">
              <w:rPr>
                <w:rFonts w:ascii="High Tower Text" w:hAnsi="High Tower Text" w:cs="Helvetica-Bold"/>
                <w:bCs/>
                <w:sz w:val="24"/>
                <w:szCs w:val="28"/>
              </w:rPr>
              <w:t>4%</w:t>
            </w:r>
          </w:p>
        </w:tc>
      </w:tr>
      <w:tr w:rsidR="00BF62B6" w:rsidRPr="00BF62B6">
        <w:trPr>
          <w:trHeight w:val="315"/>
        </w:trPr>
        <w:tc>
          <w:tcPr>
            <w:tcW w:w="2036" w:type="dxa"/>
            <w:noWrap/>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lastRenderedPageBreak/>
              <w:t>Columbia</w:t>
            </w:r>
          </w:p>
        </w:tc>
        <w:tc>
          <w:tcPr>
            <w:tcW w:w="1257" w:type="dxa"/>
            <w:noWrap/>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9.50%</w:t>
            </w:r>
          </w:p>
        </w:tc>
        <w:tc>
          <w:tcPr>
            <w:tcW w:w="66" w:type="dxa"/>
            <w:noWrap/>
          </w:tcPr>
          <w:p w:rsidR="00BF62B6" w:rsidRPr="00BF62B6" w:rsidRDefault="00BF62B6" w:rsidP="00BF62B6">
            <w:pPr>
              <w:autoSpaceDE w:val="0"/>
              <w:autoSpaceDN w:val="0"/>
              <w:adjustRightInd w:val="0"/>
              <w:rPr>
                <w:rFonts w:ascii="High Tower Text" w:hAnsi="High Tower Text" w:cs="Helvetica-Bold"/>
                <w:bCs/>
                <w:sz w:val="28"/>
                <w:szCs w:val="28"/>
              </w:rPr>
            </w:pPr>
          </w:p>
        </w:tc>
        <w:tc>
          <w:tcPr>
            <w:tcW w:w="2158" w:type="dxa"/>
            <w:noWrap/>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Humboldt</w:t>
            </w:r>
          </w:p>
        </w:tc>
        <w:tc>
          <w:tcPr>
            <w:tcW w:w="1257" w:type="dxa"/>
            <w:noWrap/>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17.70%</w:t>
            </w:r>
          </w:p>
        </w:tc>
        <w:tc>
          <w:tcPr>
            <w:tcW w:w="66" w:type="dxa"/>
            <w:noWrap/>
          </w:tcPr>
          <w:p w:rsidR="00BF62B6" w:rsidRPr="00BF62B6" w:rsidRDefault="00BF62B6" w:rsidP="00BF62B6">
            <w:pPr>
              <w:autoSpaceDE w:val="0"/>
              <w:autoSpaceDN w:val="0"/>
              <w:adjustRightInd w:val="0"/>
              <w:rPr>
                <w:rFonts w:ascii="High Tower Text" w:hAnsi="High Tower Text" w:cs="Helvetica-Bold"/>
                <w:bCs/>
                <w:sz w:val="28"/>
                <w:szCs w:val="28"/>
              </w:rPr>
            </w:pPr>
          </w:p>
        </w:tc>
        <w:tc>
          <w:tcPr>
            <w:tcW w:w="1720" w:type="dxa"/>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Mercer</w:t>
            </w:r>
          </w:p>
        </w:tc>
        <w:tc>
          <w:tcPr>
            <w:tcW w:w="1620" w:type="dxa"/>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10.10%</w:t>
            </w:r>
          </w:p>
        </w:tc>
      </w:tr>
      <w:tr w:rsidR="00BF62B6" w:rsidRPr="00BF62B6">
        <w:trPr>
          <w:trHeight w:val="300"/>
        </w:trPr>
        <w:tc>
          <w:tcPr>
            <w:tcW w:w="2036" w:type="dxa"/>
            <w:noWrap/>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Cortland</w:t>
            </w:r>
          </w:p>
        </w:tc>
        <w:tc>
          <w:tcPr>
            <w:tcW w:w="1257" w:type="dxa"/>
            <w:noWrap/>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14.10%</w:t>
            </w:r>
          </w:p>
        </w:tc>
        <w:tc>
          <w:tcPr>
            <w:tcW w:w="66" w:type="dxa"/>
            <w:noWrap/>
          </w:tcPr>
          <w:p w:rsidR="00BF62B6" w:rsidRPr="00BF62B6" w:rsidRDefault="00BF62B6" w:rsidP="00BF62B6">
            <w:pPr>
              <w:autoSpaceDE w:val="0"/>
              <w:autoSpaceDN w:val="0"/>
              <w:adjustRightInd w:val="0"/>
              <w:rPr>
                <w:rFonts w:ascii="High Tower Text" w:hAnsi="High Tower Text" w:cs="Helvetica-Bold"/>
                <w:bCs/>
                <w:sz w:val="28"/>
                <w:szCs w:val="28"/>
              </w:rPr>
            </w:pPr>
          </w:p>
        </w:tc>
        <w:tc>
          <w:tcPr>
            <w:tcW w:w="2158" w:type="dxa"/>
            <w:noWrap/>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Imperial</w:t>
            </w:r>
          </w:p>
        </w:tc>
        <w:tc>
          <w:tcPr>
            <w:tcW w:w="1257" w:type="dxa"/>
            <w:noWrap/>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21.40%</w:t>
            </w:r>
          </w:p>
        </w:tc>
        <w:tc>
          <w:tcPr>
            <w:tcW w:w="66" w:type="dxa"/>
            <w:noWrap/>
          </w:tcPr>
          <w:p w:rsidR="00BF62B6" w:rsidRPr="00BF62B6" w:rsidRDefault="00BF62B6" w:rsidP="00BF62B6">
            <w:pPr>
              <w:autoSpaceDE w:val="0"/>
              <w:autoSpaceDN w:val="0"/>
              <w:adjustRightInd w:val="0"/>
              <w:rPr>
                <w:rFonts w:ascii="High Tower Text" w:hAnsi="High Tower Text" w:cs="Helvetica-Bold"/>
                <w:bCs/>
                <w:sz w:val="28"/>
                <w:szCs w:val="28"/>
              </w:rPr>
            </w:pPr>
          </w:p>
        </w:tc>
        <w:tc>
          <w:tcPr>
            <w:tcW w:w="1720" w:type="dxa"/>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Union</w:t>
            </w:r>
          </w:p>
        </w:tc>
        <w:tc>
          <w:tcPr>
            <w:tcW w:w="1620" w:type="dxa"/>
            <w:noWrap/>
          </w:tcPr>
          <w:p w:rsidR="00BF62B6" w:rsidRPr="00BF62B6" w:rsidRDefault="00BF62B6" w:rsidP="00BF62B6">
            <w:pPr>
              <w:autoSpaceDE w:val="0"/>
              <w:autoSpaceDN w:val="0"/>
              <w:adjustRightInd w:val="0"/>
              <w:rPr>
                <w:rFonts w:ascii="High Tower Text" w:hAnsi="High Tower Text" w:cs="Helvetica-Bold"/>
                <w:bCs/>
                <w:sz w:val="28"/>
                <w:szCs w:val="28"/>
              </w:rPr>
            </w:pPr>
            <w:r w:rsidRPr="00BF62B6">
              <w:rPr>
                <w:rFonts w:ascii="High Tower Text" w:hAnsi="High Tower Text" w:cs="Helvetica-Bold"/>
                <w:bCs/>
                <w:sz w:val="28"/>
                <w:szCs w:val="28"/>
              </w:rPr>
              <w:t>9.10%</w:t>
            </w:r>
          </w:p>
        </w:tc>
      </w:tr>
    </w:tbl>
    <w:tbl>
      <w:tblPr>
        <w:tblW w:w="4700" w:type="dxa"/>
        <w:tblInd w:w="93" w:type="dxa"/>
        <w:tblLook w:val="04A0"/>
      </w:tblPr>
      <w:tblGrid>
        <w:gridCol w:w="3760"/>
        <w:gridCol w:w="1053"/>
      </w:tblGrid>
      <w:tr w:rsidR="00BF62B6" w:rsidRPr="00BF62B6">
        <w:trPr>
          <w:trHeight w:val="315"/>
        </w:trPr>
        <w:tc>
          <w:tcPr>
            <w:tcW w:w="3760" w:type="dxa"/>
            <w:tcBorders>
              <w:top w:val="nil"/>
              <w:left w:val="nil"/>
              <w:bottom w:val="nil"/>
              <w:right w:val="nil"/>
            </w:tcBorders>
            <w:shd w:val="clear" w:color="auto" w:fill="auto"/>
            <w:noWrap/>
            <w:vAlign w:val="bottom"/>
          </w:tcPr>
          <w:p w:rsidR="00BF62B6" w:rsidRPr="00BF62B6" w:rsidRDefault="00BF62B6" w:rsidP="00BF62B6">
            <w:pPr>
              <w:spacing w:after="0" w:line="240" w:lineRule="auto"/>
              <w:rPr>
                <w:rFonts w:ascii="Calibri" w:eastAsia="Times New Roman" w:hAnsi="Calibri" w:cs="Times New Roman"/>
                <w:color w:val="000000"/>
              </w:rPr>
            </w:pPr>
            <w:r w:rsidRPr="00BF62B6">
              <w:rPr>
                <w:rFonts w:ascii="Calibri" w:eastAsia="Times New Roman" w:hAnsi="Calibri" w:cs="Times New Roman"/>
                <w:color w:val="000000"/>
              </w:rPr>
              <w:t>P-test for New York and Los Angeles</w:t>
            </w:r>
          </w:p>
        </w:tc>
        <w:tc>
          <w:tcPr>
            <w:tcW w:w="940" w:type="dxa"/>
            <w:tcBorders>
              <w:top w:val="nil"/>
              <w:left w:val="nil"/>
              <w:bottom w:val="nil"/>
              <w:right w:val="nil"/>
            </w:tcBorders>
            <w:shd w:val="clear" w:color="auto" w:fill="auto"/>
            <w:noWrap/>
            <w:vAlign w:val="bottom"/>
          </w:tcPr>
          <w:p w:rsidR="00BF62B6" w:rsidRPr="00BF62B6" w:rsidRDefault="00BF62B6" w:rsidP="00BF62B6">
            <w:pPr>
              <w:spacing w:after="0" w:line="240" w:lineRule="auto"/>
              <w:jc w:val="right"/>
              <w:rPr>
                <w:rFonts w:ascii="Calibri" w:eastAsia="Times New Roman" w:hAnsi="Calibri" w:cs="Times New Roman"/>
                <w:color w:val="000000"/>
              </w:rPr>
            </w:pPr>
            <w:r w:rsidRPr="00BF62B6">
              <w:rPr>
                <w:rFonts w:ascii="Calibri" w:eastAsia="Times New Roman" w:hAnsi="Calibri" w:cs="Times New Roman"/>
                <w:color w:val="000000"/>
              </w:rPr>
              <w:t>0.494834</w:t>
            </w:r>
          </w:p>
        </w:tc>
      </w:tr>
      <w:tr w:rsidR="00BF62B6" w:rsidRPr="00BF62B6">
        <w:trPr>
          <w:trHeight w:val="315"/>
        </w:trPr>
        <w:tc>
          <w:tcPr>
            <w:tcW w:w="3760" w:type="dxa"/>
            <w:tcBorders>
              <w:top w:val="nil"/>
              <w:left w:val="nil"/>
              <w:bottom w:val="nil"/>
              <w:right w:val="nil"/>
            </w:tcBorders>
            <w:shd w:val="clear" w:color="auto" w:fill="auto"/>
            <w:noWrap/>
            <w:vAlign w:val="bottom"/>
          </w:tcPr>
          <w:p w:rsidR="00BF62B6" w:rsidRPr="00BF62B6" w:rsidRDefault="00BF62B6" w:rsidP="00BF62B6">
            <w:pPr>
              <w:spacing w:after="0" w:line="240" w:lineRule="auto"/>
              <w:rPr>
                <w:rFonts w:ascii="Calibri" w:eastAsia="Times New Roman" w:hAnsi="Calibri" w:cs="Times New Roman"/>
                <w:color w:val="000000"/>
              </w:rPr>
            </w:pPr>
            <w:r w:rsidRPr="00BF62B6">
              <w:rPr>
                <w:rFonts w:ascii="Calibri" w:eastAsia="Times New Roman" w:hAnsi="Calibri" w:cs="Times New Roman"/>
                <w:color w:val="000000"/>
              </w:rPr>
              <w:t>P-test for New York and New Jersey</w:t>
            </w:r>
          </w:p>
        </w:tc>
        <w:tc>
          <w:tcPr>
            <w:tcW w:w="940" w:type="dxa"/>
            <w:tcBorders>
              <w:top w:val="nil"/>
              <w:left w:val="nil"/>
              <w:bottom w:val="nil"/>
              <w:right w:val="nil"/>
            </w:tcBorders>
            <w:shd w:val="clear" w:color="auto" w:fill="auto"/>
            <w:noWrap/>
            <w:vAlign w:val="bottom"/>
          </w:tcPr>
          <w:p w:rsidR="00BF62B6" w:rsidRPr="00BF62B6" w:rsidRDefault="00BF62B6" w:rsidP="00BF62B6">
            <w:pPr>
              <w:spacing w:after="0" w:line="240" w:lineRule="auto"/>
              <w:jc w:val="right"/>
              <w:rPr>
                <w:rFonts w:ascii="Calibri" w:eastAsia="Times New Roman" w:hAnsi="Calibri" w:cs="Times New Roman"/>
                <w:color w:val="000000"/>
              </w:rPr>
            </w:pPr>
            <w:r w:rsidRPr="00BF62B6">
              <w:rPr>
                <w:rFonts w:ascii="Calibri" w:eastAsia="Times New Roman" w:hAnsi="Calibri" w:cs="Times New Roman"/>
                <w:color w:val="000000"/>
              </w:rPr>
              <w:t>0.011341</w:t>
            </w:r>
          </w:p>
        </w:tc>
      </w:tr>
      <w:tr w:rsidR="00BF62B6" w:rsidRPr="00BF62B6">
        <w:trPr>
          <w:trHeight w:val="315"/>
        </w:trPr>
        <w:tc>
          <w:tcPr>
            <w:tcW w:w="3760" w:type="dxa"/>
            <w:tcBorders>
              <w:top w:val="nil"/>
              <w:left w:val="nil"/>
              <w:bottom w:val="nil"/>
              <w:right w:val="nil"/>
            </w:tcBorders>
            <w:shd w:val="clear" w:color="auto" w:fill="auto"/>
            <w:noWrap/>
            <w:vAlign w:val="bottom"/>
          </w:tcPr>
          <w:p w:rsidR="00BF62B6" w:rsidRPr="00BF62B6" w:rsidRDefault="00BF62B6" w:rsidP="00BF62B6">
            <w:pPr>
              <w:spacing w:after="0" w:line="240" w:lineRule="auto"/>
              <w:rPr>
                <w:rFonts w:ascii="Calibri" w:eastAsia="Times New Roman" w:hAnsi="Calibri" w:cs="Times New Roman"/>
                <w:color w:val="000000"/>
              </w:rPr>
            </w:pPr>
            <w:r w:rsidRPr="00BF62B6">
              <w:rPr>
                <w:rFonts w:ascii="Calibri" w:eastAsia="Times New Roman" w:hAnsi="Calibri" w:cs="Times New Roman"/>
                <w:color w:val="000000"/>
              </w:rPr>
              <w:t>P-test for New Jers</w:t>
            </w:r>
            <w:r>
              <w:rPr>
                <w:rFonts w:ascii="Calibri" w:eastAsia="Times New Roman" w:hAnsi="Calibri" w:cs="Times New Roman"/>
                <w:color w:val="000000"/>
              </w:rPr>
              <w:t>e</w:t>
            </w:r>
            <w:r w:rsidRPr="00BF62B6">
              <w:rPr>
                <w:rFonts w:ascii="Calibri" w:eastAsia="Times New Roman" w:hAnsi="Calibri" w:cs="Times New Roman"/>
                <w:color w:val="000000"/>
              </w:rPr>
              <w:t>y and Los Angeles</w:t>
            </w:r>
          </w:p>
        </w:tc>
        <w:tc>
          <w:tcPr>
            <w:tcW w:w="940" w:type="dxa"/>
            <w:tcBorders>
              <w:top w:val="nil"/>
              <w:left w:val="nil"/>
              <w:bottom w:val="nil"/>
              <w:right w:val="nil"/>
            </w:tcBorders>
            <w:shd w:val="clear" w:color="auto" w:fill="auto"/>
            <w:noWrap/>
            <w:vAlign w:val="bottom"/>
          </w:tcPr>
          <w:p w:rsidR="00BF62B6" w:rsidRPr="00BF62B6" w:rsidRDefault="00BF62B6" w:rsidP="00BF62B6">
            <w:pPr>
              <w:spacing w:after="0" w:line="240" w:lineRule="auto"/>
              <w:jc w:val="right"/>
              <w:rPr>
                <w:rFonts w:ascii="Calibri" w:eastAsia="Times New Roman" w:hAnsi="Calibri" w:cs="Times New Roman"/>
                <w:color w:val="000000"/>
              </w:rPr>
            </w:pPr>
            <w:r w:rsidRPr="00BF62B6">
              <w:rPr>
                <w:rFonts w:ascii="Calibri" w:eastAsia="Times New Roman" w:hAnsi="Calibri" w:cs="Times New Roman"/>
                <w:color w:val="000000"/>
              </w:rPr>
              <w:t>0.006745</w:t>
            </w:r>
          </w:p>
        </w:tc>
      </w:tr>
    </w:tbl>
    <w:p w:rsidR="00BF62B6" w:rsidRDefault="00BF62B6" w:rsidP="0020339C">
      <w:pPr>
        <w:autoSpaceDE w:val="0"/>
        <w:autoSpaceDN w:val="0"/>
        <w:adjustRightInd w:val="0"/>
        <w:spacing w:after="0" w:line="240" w:lineRule="auto"/>
        <w:rPr>
          <w:rFonts w:ascii="High Tower Text" w:hAnsi="High Tower Text" w:cs="Helvetica-Bold"/>
          <w:bCs/>
          <w:sz w:val="28"/>
          <w:szCs w:val="28"/>
        </w:rPr>
      </w:pPr>
    </w:p>
    <w:p w:rsidR="00791306" w:rsidRDefault="00BF62B6" w:rsidP="0020339C">
      <w:pPr>
        <w:autoSpaceDE w:val="0"/>
        <w:autoSpaceDN w:val="0"/>
        <w:adjustRightInd w:val="0"/>
        <w:spacing w:after="0" w:line="240" w:lineRule="auto"/>
        <w:rPr>
          <w:rFonts w:ascii="High Tower Text" w:hAnsi="High Tower Text" w:cs="Helvetica-Bold"/>
          <w:bCs/>
          <w:sz w:val="28"/>
          <w:szCs w:val="28"/>
        </w:rPr>
      </w:pPr>
      <w:r>
        <w:rPr>
          <w:rFonts w:ascii="High Tower Text" w:hAnsi="High Tower Text" w:cs="Helvetica-Bold"/>
          <w:bCs/>
          <w:sz w:val="28"/>
          <w:szCs w:val="28"/>
        </w:rPr>
        <w:tab/>
        <w:t xml:space="preserve">If the p-value test is less than the level of </w:t>
      </w:r>
      <w:r w:rsidR="00C86874">
        <w:rPr>
          <w:rFonts w:ascii="High Tower Text" w:hAnsi="High Tower Text" w:cs="Helvetica-Bold"/>
          <w:bCs/>
          <w:sz w:val="28"/>
          <w:szCs w:val="28"/>
        </w:rPr>
        <w:t>significance, w</w:t>
      </w:r>
      <w:r>
        <w:rPr>
          <w:rFonts w:ascii="High Tower Text" w:hAnsi="High Tower Text" w:cs="Helvetica-Bold"/>
          <w:bCs/>
          <w:sz w:val="28"/>
          <w:szCs w:val="28"/>
        </w:rPr>
        <w:t xml:space="preserve">e reject the null hypothesis. If </w:t>
      </w:r>
      <w:r w:rsidR="00C86874">
        <w:rPr>
          <w:rFonts w:ascii="High Tower Text" w:hAnsi="High Tower Text" w:cs="Helvetica-Bold"/>
          <w:bCs/>
          <w:sz w:val="28"/>
          <w:szCs w:val="28"/>
        </w:rPr>
        <w:t>the p</w:t>
      </w:r>
      <w:r>
        <w:rPr>
          <w:rFonts w:ascii="High Tower Text" w:hAnsi="High Tower Text" w:cs="Helvetica-Bold"/>
          <w:bCs/>
          <w:sz w:val="28"/>
          <w:szCs w:val="28"/>
        </w:rPr>
        <w:t>-value is greater than the level of sign</w:t>
      </w:r>
      <w:r w:rsidR="00C86874">
        <w:rPr>
          <w:rFonts w:ascii="High Tower Text" w:hAnsi="High Tower Text" w:cs="Helvetica-Bold"/>
          <w:bCs/>
          <w:sz w:val="28"/>
          <w:szCs w:val="28"/>
        </w:rPr>
        <w:t>ificance, then we accept the null</w:t>
      </w:r>
      <w:r>
        <w:rPr>
          <w:rFonts w:ascii="High Tower Text" w:hAnsi="High Tower Text" w:cs="Helvetica-Bold"/>
          <w:bCs/>
          <w:sz w:val="28"/>
          <w:szCs w:val="28"/>
        </w:rPr>
        <w:t xml:space="preserve"> hypothesis. </w:t>
      </w:r>
      <w:r w:rsidR="00C86874">
        <w:rPr>
          <w:rFonts w:ascii="High Tower Text" w:hAnsi="High Tower Text" w:cs="Helvetica-Bold"/>
          <w:bCs/>
          <w:sz w:val="28"/>
          <w:szCs w:val="28"/>
        </w:rPr>
        <w:t>In</w:t>
      </w:r>
      <w:r>
        <w:rPr>
          <w:rFonts w:ascii="High Tower Text" w:hAnsi="High Tower Text" w:cs="Helvetica-Bold"/>
          <w:bCs/>
          <w:sz w:val="28"/>
          <w:szCs w:val="28"/>
        </w:rPr>
        <w:t xml:space="preserve"> this case, the null hypothesis was that the 2 states had the same rates for poverty. </w:t>
      </w:r>
      <w:r w:rsidR="00C86874">
        <w:rPr>
          <w:rFonts w:ascii="High Tower Text" w:hAnsi="High Tower Text" w:cs="Helvetica-Bold"/>
          <w:bCs/>
          <w:sz w:val="28"/>
          <w:szCs w:val="28"/>
        </w:rPr>
        <w:t>0.49 and 0.01 are both higher than 1% but they are both less than 5%. 0.006 is less than both 1% and 5%.</w:t>
      </w:r>
      <w:r w:rsidR="00C86874">
        <w:rPr>
          <w:rFonts w:ascii="High Tower Text" w:hAnsi="High Tower Text" w:cs="Helvetica-Bold"/>
          <w:bCs/>
          <w:sz w:val="28"/>
          <w:szCs w:val="28"/>
        </w:rPr>
        <w:br/>
      </w:r>
      <w:r w:rsidR="00791306">
        <w:rPr>
          <w:rFonts w:ascii="High Tower Text" w:hAnsi="High Tower Text" w:cs="Helvetica-Bold"/>
          <w:bCs/>
          <w:sz w:val="28"/>
          <w:szCs w:val="28"/>
        </w:rPr>
        <w:br/>
      </w:r>
      <w:r w:rsidR="00791306">
        <w:rPr>
          <w:rFonts w:ascii="High Tower Text" w:hAnsi="High Tower Text" w:cs="Helvetica-Bold"/>
          <w:bCs/>
          <w:sz w:val="28"/>
          <w:szCs w:val="28"/>
        </w:rPr>
        <w:br/>
        <w:t>After calculating the p-value test we saw that New York and Los Angeles are not the same since they are both less than 1% and 5% level of significance. New York and New Jersey they are the same at both 1% level of significance and at 5% level significance. New Jersey and Los Angeles are the same at 1% and at 5% level of significance.</w:t>
      </w:r>
      <w:r w:rsidR="00791306">
        <w:rPr>
          <w:rFonts w:ascii="High Tower Text" w:hAnsi="High Tower Text" w:cs="Helvetica-Bold"/>
          <w:bCs/>
          <w:sz w:val="28"/>
          <w:szCs w:val="28"/>
        </w:rPr>
        <w:br/>
      </w:r>
      <w:r w:rsidR="00791306">
        <w:rPr>
          <w:rFonts w:ascii="High Tower Text" w:hAnsi="High Tower Text" w:cs="Helvetica-Bold"/>
          <w:bCs/>
          <w:sz w:val="28"/>
          <w:szCs w:val="28"/>
        </w:rPr>
        <w:br/>
      </w:r>
      <w:r w:rsidR="00C86874">
        <w:rPr>
          <w:rFonts w:ascii="High Tower Text" w:hAnsi="High Tower Text" w:cs="Helvetica-Bold"/>
          <w:bCs/>
          <w:sz w:val="28"/>
          <w:szCs w:val="28"/>
        </w:rPr>
        <w:br/>
      </w:r>
      <w:r w:rsidR="00C86874">
        <w:rPr>
          <w:rFonts w:ascii="High Tower Text" w:hAnsi="High Tower Text" w:cs="Helvetica-Bold"/>
          <w:bCs/>
          <w:sz w:val="28"/>
          <w:szCs w:val="28"/>
        </w:rPr>
        <w:br/>
      </w:r>
    </w:p>
    <w:tbl>
      <w:tblPr>
        <w:tblW w:w="9386" w:type="dxa"/>
        <w:tblInd w:w="93" w:type="dxa"/>
        <w:tblLook w:val="04A0"/>
      </w:tblPr>
      <w:tblGrid>
        <w:gridCol w:w="1456"/>
        <w:gridCol w:w="2474"/>
        <w:gridCol w:w="2682"/>
        <w:gridCol w:w="2774"/>
      </w:tblGrid>
      <w:tr w:rsidR="00791306" w:rsidRPr="00791306" w:rsidTr="00800C67">
        <w:trPr>
          <w:trHeight w:val="301"/>
        </w:trPr>
        <w:tc>
          <w:tcPr>
            <w:tcW w:w="1456" w:type="dxa"/>
            <w:tcBorders>
              <w:top w:val="nil"/>
              <w:left w:val="nil"/>
              <w:bottom w:val="nil"/>
              <w:right w:val="nil"/>
            </w:tcBorders>
            <w:shd w:val="clear" w:color="000000" w:fill="C6EFCE"/>
            <w:noWrap/>
            <w:vAlign w:val="bottom"/>
          </w:tcPr>
          <w:p w:rsidR="00791306" w:rsidRPr="00791306" w:rsidRDefault="00791306" w:rsidP="00791306">
            <w:pPr>
              <w:spacing w:after="0" w:line="240" w:lineRule="auto"/>
              <w:rPr>
                <w:rFonts w:ascii="Calibri" w:eastAsia="Times New Roman" w:hAnsi="Calibri" w:cs="Times New Roman"/>
                <w:color w:val="006100"/>
              </w:rPr>
            </w:pPr>
            <w:r w:rsidRPr="00791306">
              <w:rPr>
                <w:rFonts w:ascii="Calibri" w:eastAsia="Times New Roman" w:hAnsi="Calibri" w:cs="Times New Roman"/>
                <w:color w:val="006100"/>
              </w:rPr>
              <w:t>Year</w:t>
            </w:r>
          </w:p>
        </w:tc>
        <w:tc>
          <w:tcPr>
            <w:tcW w:w="2474" w:type="dxa"/>
            <w:tcBorders>
              <w:top w:val="nil"/>
              <w:left w:val="nil"/>
              <w:bottom w:val="nil"/>
              <w:right w:val="nil"/>
            </w:tcBorders>
            <w:shd w:val="clear" w:color="000000" w:fill="C6EFCE"/>
            <w:noWrap/>
            <w:vAlign w:val="bottom"/>
          </w:tcPr>
          <w:p w:rsidR="00791306" w:rsidRPr="00791306" w:rsidRDefault="00791306" w:rsidP="00791306">
            <w:pPr>
              <w:spacing w:after="0" w:line="240" w:lineRule="auto"/>
              <w:rPr>
                <w:rFonts w:ascii="Calibri" w:eastAsia="Times New Roman" w:hAnsi="Calibri" w:cs="Times New Roman"/>
                <w:color w:val="006100"/>
              </w:rPr>
            </w:pPr>
            <w:r w:rsidRPr="00791306">
              <w:rPr>
                <w:rFonts w:ascii="Calibri" w:eastAsia="Times New Roman" w:hAnsi="Calibri" w:cs="Times New Roman"/>
                <w:color w:val="006100"/>
              </w:rPr>
              <w:t>New York, New York</w:t>
            </w:r>
          </w:p>
        </w:tc>
        <w:tc>
          <w:tcPr>
            <w:tcW w:w="2682" w:type="dxa"/>
            <w:tcBorders>
              <w:top w:val="nil"/>
              <w:left w:val="nil"/>
              <w:bottom w:val="nil"/>
              <w:right w:val="nil"/>
            </w:tcBorders>
            <w:shd w:val="clear" w:color="000000" w:fill="C6EFCE"/>
            <w:noWrap/>
            <w:vAlign w:val="bottom"/>
          </w:tcPr>
          <w:p w:rsidR="00791306" w:rsidRPr="00791306" w:rsidRDefault="00791306" w:rsidP="00791306">
            <w:pPr>
              <w:spacing w:after="0" w:line="240" w:lineRule="auto"/>
              <w:rPr>
                <w:rFonts w:ascii="Calibri" w:eastAsia="Times New Roman" w:hAnsi="Calibri" w:cs="Times New Roman"/>
                <w:color w:val="006100"/>
              </w:rPr>
            </w:pPr>
            <w:r w:rsidRPr="00791306">
              <w:rPr>
                <w:rFonts w:ascii="Calibri" w:eastAsia="Times New Roman" w:hAnsi="Calibri" w:cs="Times New Roman"/>
                <w:color w:val="006100"/>
              </w:rPr>
              <w:t>Los Angeles, California</w:t>
            </w:r>
          </w:p>
        </w:tc>
        <w:tc>
          <w:tcPr>
            <w:tcW w:w="2774" w:type="dxa"/>
            <w:tcBorders>
              <w:top w:val="nil"/>
              <w:left w:val="nil"/>
              <w:bottom w:val="nil"/>
              <w:right w:val="nil"/>
            </w:tcBorders>
            <w:shd w:val="clear" w:color="000000" w:fill="C6EFCE"/>
            <w:noWrap/>
            <w:vAlign w:val="bottom"/>
          </w:tcPr>
          <w:p w:rsidR="00791306" w:rsidRPr="00791306" w:rsidRDefault="00800C67" w:rsidP="00791306">
            <w:pPr>
              <w:spacing w:after="0" w:line="240" w:lineRule="auto"/>
              <w:rPr>
                <w:rFonts w:ascii="Calibri" w:eastAsia="Times New Roman" w:hAnsi="Calibri" w:cs="Times New Roman"/>
                <w:color w:val="006100"/>
              </w:rPr>
            </w:pPr>
            <w:r w:rsidRPr="00791306">
              <w:rPr>
                <w:rFonts w:ascii="Calibri" w:eastAsia="Times New Roman" w:hAnsi="Calibri" w:cs="Times New Roman"/>
                <w:color w:val="006100"/>
              </w:rPr>
              <w:t>Pleasantville, New</w:t>
            </w:r>
            <w:r w:rsidR="00791306" w:rsidRPr="00791306">
              <w:rPr>
                <w:rFonts w:ascii="Calibri" w:eastAsia="Times New Roman" w:hAnsi="Calibri" w:cs="Times New Roman"/>
                <w:color w:val="006100"/>
              </w:rPr>
              <w:t xml:space="preserve"> Jersey </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1999</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9.0%</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11.6%</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6.0%</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2000</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8.7%</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14.8%</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0.0%</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2002</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7.3%</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17.1%</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5.2%</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2003</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7.4%</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13.4%</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20.9%</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2004</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7.0%</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13.4%</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15.7%</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2005</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6.6%</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12.6%</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5.2%</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2006</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7.3%</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12.4%</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5.3%</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2007</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6.0%</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10.2%</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15.9%</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2008</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6.3%</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10.0%</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5.3%</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2009</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5.6%</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8.1%</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21.2%</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2010</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6.4%</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7.6%</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15.8%</w:t>
            </w:r>
          </w:p>
        </w:tc>
      </w:tr>
      <w:tr w:rsidR="00791306" w:rsidRPr="00791306" w:rsidTr="00800C67">
        <w:trPr>
          <w:trHeight w:val="301"/>
        </w:trPr>
        <w:tc>
          <w:tcPr>
            <w:tcW w:w="1456"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2011</w:t>
            </w:r>
          </w:p>
        </w:tc>
        <w:tc>
          <w:tcPr>
            <w:tcW w:w="24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6.3%</w:t>
            </w:r>
          </w:p>
        </w:tc>
        <w:tc>
          <w:tcPr>
            <w:tcW w:w="2682"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7.7%</w:t>
            </w:r>
          </w:p>
        </w:tc>
        <w:tc>
          <w:tcPr>
            <w:tcW w:w="2774"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14.8%</w:t>
            </w:r>
          </w:p>
        </w:tc>
      </w:tr>
    </w:tbl>
    <w:p w:rsidR="00C86874" w:rsidRDefault="00800C67" w:rsidP="0020339C">
      <w:pPr>
        <w:autoSpaceDE w:val="0"/>
        <w:autoSpaceDN w:val="0"/>
        <w:adjustRightInd w:val="0"/>
        <w:spacing w:after="0" w:line="240" w:lineRule="auto"/>
        <w:rPr>
          <w:rFonts w:ascii="High Tower Text" w:hAnsi="High Tower Text" w:cs="Helvetica-Bold"/>
          <w:bCs/>
          <w:sz w:val="28"/>
          <w:szCs w:val="28"/>
        </w:rPr>
      </w:pPr>
      <w:r>
        <w:rPr>
          <w:rFonts w:ascii="High Tower Text" w:hAnsi="High Tower Text" w:cs="Helvetica-Bold"/>
          <w:bCs/>
          <w:sz w:val="28"/>
          <w:szCs w:val="28"/>
        </w:rPr>
        <w:t xml:space="preserve">Murder rates for New York, NY; Los Angeles, California; Pleasantville, NJ </w:t>
      </w:r>
    </w:p>
    <w:p w:rsidR="00C86874" w:rsidRDefault="00C86874" w:rsidP="0020339C">
      <w:pPr>
        <w:autoSpaceDE w:val="0"/>
        <w:autoSpaceDN w:val="0"/>
        <w:adjustRightInd w:val="0"/>
        <w:spacing w:after="0" w:line="240" w:lineRule="auto"/>
        <w:rPr>
          <w:rFonts w:ascii="High Tower Text" w:hAnsi="High Tower Text" w:cs="Helvetica-Bold"/>
          <w:bCs/>
          <w:sz w:val="28"/>
          <w:szCs w:val="28"/>
        </w:rPr>
      </w:pPr>
    </w:p>
    <w:p w:rsidR="00C86874" w:rsidRDefault="00791306" w:rsidP="0020339C">
      <w:pPr>
        <w:autoSpaceDE w:val="0"/>
        <w:autoSpaceDN w:val="0"/>
        <w:adjustRightInd w:val="0"/>
        <w:spacing w:after="0" w:line="240" w:lineRule="auto"/>
        <w:rPr>
          <w:rFonts w:ascii="High Tower Text" w:hAnsi="High Tower Text" w:cs="Helvetica-Bold"/>
          <w:bCs/>
          <w:sz w:val="28"/>
          <w:szCs w:val="28"/>
        </w:rPr>
      </w:pPr>
      <w:r>
        <w:rPr>
          <w:noProof/>
          <w:lang w:eastAsia="zh-CN"/>
        </w:rPr>
        <w:lastRenderedPageBreak/>
        <w:drawing>
          <wp:inline distT="0" distB="0" distL="0" distR="0">
            <wp:extent cx="5943600" cy="4233545"/>
            <wp:effectExtent l="0" t="0" r="1905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91306" w:rsidRPr="00676834" w:rsidRDefault="00BF62B6" w:rsidP="0020339C">
      <w:pPr>
        <w:autoSpaceDE w:val="0"/>
        <w:autoSpaceDN w:val="0"/>
        <w:adjustRightInd w:val="0"/>
        <w:spacing w:after="0" w:line="240" w:lineRule="auto"/>
        <w:rPr>
          <w:rFonts w:ascii="High Tower Text" w:hAnsi="High Tower Text" w:cs="Helvetica-Bold"/>
          <w:bCs/>
          <w:sz w:val="28"/>
          <w:szCs w:val="28"/>
        </w:rPr>
      </w:pPr>
      <w:r>
        <w:rPr>
          <w:rFonts w:ascii="High Tower Text" w:hAnsi="High Tower Text" w:cs="Helvetica-Bold"/>
          <w:bCs/>
          <w:sz w:val="28"/>
          <w:szCs w:val="28"/>
        </w:rPr>
        <w:t xml:space="preserve"> </w:t>
      </w:r>
      <w:r w:rsidR="00800C67">
        <w:rPr>
          <w:rFonts w:ascii="High Tower Text" w:hAnsi="High Tower Text" w:cs="Helvetica-Bold"/>
          <w:bCs/>
          <w:sz w:val="28"/>
          <w:szCs w:val="28"/>
        </w:rPr>
        <w:t>Murder rate graph</w:t>
      </w:r>
    </w:p>
    <w:tbl>
      <w:tblPr>
        <w:tblW w:w="3400" w:type="dxa"/>
        <w:tblInd w:w="93" w:type="dxa"/>
        <w:tblLook w:val="04A0"/>
      </w:tblPr>
      <w:tblGrid>
        <w:gridCol w:w="1260"/>
        <w:gridCol w:w="2140"/>
      </w:tblGrid>
      <w:tr w:rsidR="00791306" w:rsidRPr="00791306">
        <w:trPr>
          <w:trHeight w:val="300"/>
        </w:trPr>
        <w:tc>
          <w:tcPr>
            <w:tcW w:w="1260" w:type="dxa"/>
            <w:tcBorders>
              <w:top w:val="nil"/>
              <w:left w:val="nil"/>
              <w:bottom w:val="nil"/>
              <w:right w:val="nil"/>
            </w:tcBorders>
            <w:shd w:val="clear" w:color="auto" w:fill="auto"/>
            <w:noWrap/>
            <w:vAlign w:val="bottom"/>
          </w:tcPr>
          <w:p w:rsidR="00791306" w:rsidRPr="00791306" w:rsidRDefault="00791306" w:rsidP="00791306">
            <w:pPr>
              <w:spacing w:after="0" w:line="240" w:lineRule="auto"/>
              <w:rPr>
                <w:rFonts w:ascii="Calibri" w:eastAsia="Times New Roman" w:hAnsi="Calibri" w:cs="Times New Roman"/>
                <w:color w:val="000000"/>
              </w:rPr>
            </w:pPr>
            <w:r w:rsidRPr="00791306">
              <w:rPr>
                <w:rFonts w:ascii="Calibri" w:eastAsia="Times New Roman" w:hAnsi="Calibri" w:cs="Times New Roman"/>
                <w:color w:val="000000"/>
              </w:rPr>
              <w:t>NY &amp; LA</w:t>
            </w:r>
          </w:p>
        </w:tc>
        <w:tc>
          <w:tcPr>
            <w:tcW w:w="2140"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2.57003E-05</w:t>
            </w:r>
          </w:p>
        </w:tc>
      </w:tr>
      <w:tr w:rsidR="00791306" w:rsidRPr="00791306">
        <w:trPr>
          <w:trHeight w:val="300"/>
        </w:trPr>
        <w:tc>
          <w:tcPr>
            <w:tcW w:w="1260" w:type="dxa"/>
            <w:tcBorders>
              <w:top w:val="nil"/>
              <w:left w:val="nil"/>
              <w:bottom w:val="nil"/>
              <w:right w:val="nil"/>
            </w:tcBorders>
            <w:shd w:val="clear" w:color="auto" w:fill="auto"/>
            <w:noWrap/>
            <w:vAlign w:val="bottom"/>
          </w:tcPr>
          <w:p w:rsidR="00791306" w:rsidRPr="00791306" w:rsidRDefault="00791306" w:rsidP="00791306">
            <w:pPr>
              <w:spacing w:after="0" w:line="240" w:lineRule="auto"/>
              <w:rPr>
                <w:rFonts w:ascii="Calibri" w:eastAsia="Times New Roman" w:hAnsi="Calibri" w:cs="Times New Roman"/>
                <w:color w:val="000000"/>
              </w:rPr>
            </w:pPr>
            <w:r w:rsidRPr="00791306">
              <w:rPr>
                <w:rFonts w:ascii="Calibri" w:eastAsia="Times New Roman" w:hAnsi="Calibri" w:cs="Times New Roman"/>
                <w:color w:val="000000"/>
              </w:rPr>
              <w:t>NY &amp; NJ</w:t>
            </w:r>
          </w:p>
        </w:tc>
        <w:tc>
          <w:tcPr>
            <w:tcW w:w="2140"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0.053525218</w:t>
            </w:r>
          </w:p>
        </w:tc>
      </w:tr>
      <w:tr w:rsidR="00791306" w:rsidRPr="00791306">
        <w:trPr>
          <w:trHeight w:val="300"/>
        </w:trPr>
        <w:tc>
          <w:tcPr>
            <w:tcW w:w="1260" w:type="dxa"/>
            <w:tcBorders>
              <w:top w:val="nil"/>
              <w:left w:val="nil"/>
              <w:bottom w:val="nil"/>
              <w:right w:val="nil"/>
            </w:tcBorders>
            <w:shd w:val="clear" w:color="auto" w:fill="auto"/>
            <w:noWrap/>
            <w:vAlign w:val="bottom"/>
          </w:tcPr>
          <w:p w:rsidR="00791306" w:rsidRPr="00791306" w:rsidRDefault="00791306" w:rsidP="00791306">
            <w:pPr>
              <w:spacing w:after="0" w:line="240" w:lineRule="auto"/>
              <w:rPr>
                <w:rFonts w:ascii="Calibri" w:eastAsia="Times New Roman" w:hAnsi="Calibri" w:cs="Times New Roman"/>
                <w:color w:val="000000"/>
              </w:rPr>
            </w:pPr>
            <w:r w:rsidRPr="00791306">
              <w:rPr>
                <w:rFonts w:ascii="Calibri" w:eastAsia="Times New Roman" w:hAnsi="Calibri" w:cs="Times New Roman"/>
                <w:color w:val="000000"/>
              </w:rPr>
              <w:t>LA &amp; NJ</w:t>
            </w:r>
          </w:p>
        </w:tc>
        <w:tc>
          <w:tcPr>
            <w:tcW w:w="2140" w:type="dxa"/>
            <w:tcBorders>
              <w:top w:val="nil"/>
              <w:left w:val="nil"/>
              <w:bottom w:val="nil"/>
              <w:right w:val="nil"/>
            </w:tcBorders>
            <w:shd w:val="clear" w:color="auto" w:fill="auto"/>
            <w:noWrap/>
            <w:vAlign w:val="bottom"/>
          </w:tcPr>
          <w:p w:rsidR="00791306" w:rsidRPr="00791306" w:rsidRDefault="00791306" w:rsidP="00791306">
            <w:pPr>
              <w:spacing w:after="0" w:line="240" w:lineRule="auto"/>
              <w:jc w:val="right"/>
              <w:rPr>
                <w:rFonts w:ascii="Calibri" w:eastAsia="Times New Roman" w:hAnsi="Calibri" w:cs="Times New Roman"/>
                <w:color w:val="000000"/>
              </w:rPr>
            </w:pPr>
            <w:r w:rsidRPr="00791306">
              <w:rPr>
                <w:rFonts w:ascii="Calibri" w:eastAsia="Times New Roman" w:hAnsi="Calibri" w:cs="Times New Roman"/>
                <w:color w:val="000000"/>
              </w:rPr>
              <w:t>0.406294318</w:t>
            </w:r>
          </w:p>
        </w:tc>
      </w:tr>
    </w:tbl>
    <w:p w:rsidR="00BF62B6" w:rsidRDefault="0032735D" w:rsidP="0020339C">
      <w:pPr>
        <w:autoSpaceDE w:val="0"/>
        <w:autoSpaceDN w:val="0"/>
        <w:adjustRightInd w:val="0"/>
        <w:spacing w:after="0" w:line="240" w:lineRule="auto"/>
        <w:rPr>
          <w:rFonts w:ascii="High Tower Text" w:hAnsi="High Tower Text" w:cs="Helvetica-Bold"/>
          <w:bCs/>
          <w:sz w:val="28"/>
          <w:szCs w:val="28"/>
        </w:rPr>
      </w:pPr>
      <w:r>
        <w:rPr>
          <w:rFonts w:ascii="High Tower Text" w:hAnsi="High Tower Text" w:cs="Helvetica-Bold"/>
          <w:bCs/>
          <w:sz w:val="28"/>
          <w:szCs w:val="28"/>
        </w:rPr>
        <w:br/>
        <w:t>The p-value for New York and Los Angeles was 2.057003E-05 showing that it’s less than 1% and 5%. The p-value for New Jersey and New York shows that 0.053525218 is greater than 1% and 5%. Lastly, the p-value for Los Angeles and New Jersey shows 0.406294318 is greater than 1% and 5%.</w:t>
      </w:r>
    </w:p>
    <w:p w:rsidR="0032735D" w:rsidRDefault="0032735D" w:rsidP="0020339C">
      <w:pPr>
        <w:autoSpaceDE w:val="0"/>
        <w:autoSpaceDN w:val="0"/>
        <w:adjustRightInd w:val="0"/>
        <w:spacing w:after="0" w:line="240" w:lineRule="auto"/>
        <w:rPr>
          <w:rFonts w:ascii="High Tower Text" w:hAnsi="High Tower Text" w:cs="Helvetica-Bold"/>
          <w:bCs/>
          <w:sz w:val="28"/>
          <w:szCs w:val="28"/>
        </w:rPr>
      </w:pPr>
    </w:p>
    <w:p w:rsidR="0032735D" w:rsidRDefault="0032735D" w:rsidP="0020339C">
      <w:pPr>
        <w:autoSpaceDE w:val="0"/>
        <w:autoSpaceDN w:val="0"/>
        <w:adjustRightInd w:val="0"/>
        <w:spacing w:after="0" w:line="240" w:lineRule="auto"/>
        <w:rPr>
          <w:rFonts w:ascii="High Tower Text" w:hAnsi="High Tower Text" w:cs="Helvetica-Bold"/>
          <w:b/>
          <w:bCs/>
          <w:sz w:val="32"/>
          <w:szCs w:val="32"/>
        </w:rPr>
      </w:pPr>
      <w:r w:rsidRPr="0032735D">
        <w:rPr>
          <w:rFonts w:ascii="High Tower Text" w:hAnsi="High Tower Text" w:cs="Helvetica-Bold"/>
          <w:b/>
          <w:bCs/>
          <w:sz w:val="32"/>
          <w:szCs w:val="32"/>
        </w:rPr>
        <w:t>Conclusion</w:t>
      </w:r>
    </w:p>
    <w:p w:rsidR="0032735D" w:rsidRDefault="0032735D" w:rsidP="0020339C">
      <w:pPr>
        <w:autoSpaceDE w:val="0"/>
        <w:autoSpaceDN w:val="0"/>
        <w:adjustRightInd w:val="0"/>
        <w:spacing w:after="0" w:line="240" w:lineRule="auto"/>
        <w:rPr>
          <w:rFonts w:ascii="High Tower Text" w:hAnsi="High Tower Text" w:cs="Helvetica-Bold"/>
          <w:b/>
          <w:bCs/>
          <w:sz w:val="32"/>
          <w:szCs w:val="32"/>
        </w:rPr>
      </w:pPr>
    </w:p>
    <w:p w:rsidR="0032735D" w:rsidRPr="0032735D" w:rsidRDefault="0032735D" w:rsidP="0020339C">
      <w:pPr>
        <w:autoSpaceDE w:val="0"/>
        <w:autoSpaceDN w:val="0"/>
        <w:adjustRightInd w:val="0"/>
        <w:spacing w:after="0" w:line="240" w:lineRule="auto"/>
        <w:rPr>
          <w:rFonts w:ascii="High Tower Text" w:hAnsi="High Tower Text" w:cs="Helvetica-Bold"/>
          <w:bCs/>
          <w:sz w:val="32"/>
          <w:szCs w:val="32"/>
        </w:rPr>
      </w:pPr>
      <w:r>
        <w:rPr>
          <w:rFonts w:ascii="High Tower Text" w:hAnsi="High Tower Text" w:cs="Helvetica-Bold"/>
          <w:bCs/>
          <w:sz w:val="32"/>
          <w:szCs w:val="32"/>
        </w:rPr>
        <w:t xml:space="preserve">This shows that murder can be due to other factors than just poverty. </w:t>
      </w:r>
      <w:r w:rsidRPr="0032735D">
        <w:rPr>
          <w:rFonts w:ascii="High Tower Text" w:hAnsi="High Tower Text" w:cs="Helvetica-Bold"/>
          <w:bCs/>
          <w:sz w:val="32"/>
          <w:szCs w:val="32"/>
        </w:rPr>
        <w:t>Many other factors, such as unemployment, population density, minority population, age distribution, and locality in the US, are correlated with crime and affect poverty as well</w:t>
      </w:r>
      <w:r>
        <w:rPr>
          <w:rFonts w:ascii="High Tower Text" w:hAnsi="High Tower Text" w:cs="Helvetica-Bold"/>
          <w:bCs/>
          <w:sz w:val="32"/>
          <w:szCs w:val="32"/>
        </w:rPr>
        <w:t>.</w:t>
      </w:r>
      <w:r w:rsidRPr="0032735D">
        <w:t xml:space="preserve"> </w:t>
      </w:r>
      <w:r w:rsidRPr="0032735D">
        <w:rPr>
          <w:rFonts w:ascii="High Tower Text" w:hAnsi="High Tower Text" w:cs="Helvetica-Bold"/>
          <w:bCs/>
          <w:sz w:val="32"/>
          <w:szCs w:val="32"/>
        </w:rPr>
        <w:t>Another reason is that different states have distinct police force; therefore crime is controlled mor</w:t>
      </w:r>
      <w:r w:rsidR="00051BA1">
        <w:rPr>
          <w:rFonts w:ascii="High Tower Text" w:hAnsi="High Tower Text" w:cs="Helvetica-Bold"/>
          <w:bCs/>
          <w:sz w:val="32"/>
          <w:szCs w:val="32"/>
        </w:rPr>
        <w:t xml:space="preserve">e efficiently in some states. </w:t>
      </w:r>
      <w:r>
        <w:rPr>
          <w:rFonts w:ascii="High Tower Text" w:hAnsi="High Tower Text" w:cs="Helvetica-Bold"/>
          <w:bCs/>
          <w:sz w:val="32"/>
          <w:szCs w:val="32"/>
        </w:rPr>
        <w:t xml:space="preserve">Some of the ways in which </w:t>
      </w:r>
      <w:r w:rsidR="00051BA1">
        <w:rPr>
          <w:rFonts w:ascii="High Tower Text" w:hAnsi="High Tower Text" w:cs="Helvetica-Bold"/>
          <w:bCs/>
          <w:sz w:val="32"/>
          <w:szCs w:val="32"/>
        </w:rPr>
        <w:lastRenderedPageBreak/>
        <w:t xml:space="preserve">this problem can be solved </w:t>
      </w:r>
      <w:bookmarkStart w:id="0" w:name="_GoBack"/>
      <w:bookmarkEnd w:id="0"/>
      <w:r>
        <w:rPr>
          <w:rFonts w:ascii="High Tower Text" w:hAnsi="High Tower Text" w:cs="Helvetica-Bold"/>
          <w:bCs/>
          <w:sz w:val="32"/>
          <w:szCs w:val="32"/>
        </w:rPr>
        <w:t xml:space="preserve">are </w:t>
      </w:r>
      <w:r w:rsidR="00051BA1">
        <w:rPr>
          <w:rFonts w:ascii="High Tower Text" w:hAnsi="High Tower Text" w:cs="Helvetica-Bold"/>
          <w:bCs/>
          <w:sz w:val="32"/>
          <w:szCs w:val="32"/>
        </w:rPr>
        <w:t>by creating more jobs, and creating intervention programs to prevent teenagers from getting in to gangs or participating in illegal activities.</w:t>
      </w:r>
    </w:p>
    <w:sectPr w:rsidR="0032735D" w:rsidRPr="0032735D" w:rsidSect="00545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igh Tower Text">
    <w:panose1 w:val="02040502050506030303"/>
    <w:charset w:val="00"/>
    <w:family w:val="roman"/>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FELayout/>
  </w:compat>
  <w:rsids>
    <w:rsidRoot w:val="00312260"/>
    <w:rsid w:val="000330E6"/>
    <w:rsid w:val="00051BA1"/>
    <w:rsid w:val="00080F1F"/>
    <w:rsid w:val="0020339C"/>
    <w:rsid w:val="00312260"/>
    <w:rsid w:val="0032735D"/>
    <w:rsid w:val="003C5428"/>
    <w:rsid w:val="00545720"/>
    <w:rsid w:val="00676834"/>
    <w:rsid w:val="00791306"/>
    <w:rsid w:val="00800C67"/>
    <w:rsid w:val="00912317"/>
    <w:rsid w:val="00A753B6"/>
    <w:rsid w:val="00B9530F"/>
    <w:rsid w:val="00BF62B6"/>
    <w:rsid w:val="00C2435A"/>
    <w:rsid w:val="00C86874"/>
    <w:rsid w:val="00CF7891"/>
    <w:rsid w:val="00E46F72"/>
    <w:rsid w:val="00E51B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E6"/>
    <w:rPr>
      <w:rFonts w:ascii="Tahoma" w:hAnsi="Tahoma" w:cs="Tahoma"/>
      <w:sz w:val="16"/>
      <w:szCs w:val="16"/>
    </w:rPr>
  </w:style>
  <w:style w:type="table" w:styleId="MediumGrid3-Accent3">
    <w:name w:val="Medium Grid 3 Accent 3"/>
    <w:basedOn w:val="TableNormal"/>
    <w:uiPriority w:val="69"/>
    <w:rsid w:val="00800C6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161163">
      <w:bodyDiv w:val="1"/>
      <w:marLeft w:val="0"/>
      <w:marRight w:val="0"/>
      <w:marTop w:val="0"/>
      <w:marBottom w:val="0"/>
      <w:divBdr>
        <w:top w:val="none" w:sz="0" w:space="0" w:color="auto"/>
        <w:left w:val="none" w:sz="0" w:space="0" w:color="auto"/>
        <w:bottom w:val="none" w:sz="0" w:space="0" w:color="auto"/>
        <w:right w:val="none" w:sz="0" w:space="0" w:color="auto"/>
      </w:divBdr>
    </w:div>
    <w:div w:id="683167737">
      <w:bodyDiv w:val="1"/>
      <w:marLeft w:val="0"/>
      <w:marRight w:val="0"/>
      <w:marTop w:val="0"/>
      <w:marBottom w:val="0"/>
      <w:divBdr>
        <w:top w:val="none" w:sz="0" w:space="0" w:color="auto"/>
        <w:left w:val="none" w:sz="0" w:space="0" w:color="auto"/>
        <w:bottom w:val="none" w:sz="0" w:space="0" w:color="auto"/>
        <w:right w:val="none" w:sz="0" w:space="0" w:color="auto"/>
      </w:divBdr>
    </w:div>
    <w:div w:id="1250843587">
      <w:bodyDiv w:val="1"/>
      <w:marLeft w:val="0"/>
      <w:marRight w:val="0"/>
      <w:marTop w:val="0"/>
      <w:marBottom w:val="0"/>
      <w:divBdr>
        <w:top w:val="none" w:sz="0" w:space="0" w:color="auto"/>
        <w:left w:val="none" w:sz="0" w:space="0" w:color="auto"/>
        <w:bottom w:val="none" w:sz="0" w:space="0" w:color="auto"/>
        <w:right w:val="none" w:sz="0" w:space="0" w:color="auto"/>
      </w:divBdr>
    </w:div>
    <w:div w:id="1657494450">
      <w:bodyDiv w:val="1"/>
      <w:marLeft w:val="0"/>
      <w:marRight w:val="0"/>
      <w:marTop w:val="0"/>
      <w:marBottom w:val="0"/>
      <w:divBdr>
        <w:top w:val="none" w:sz="0" w:space="0" w:color="auto"/>
        <w:left w:val="none" w:sz="0" w:space="0" w:color="auto"/>
        <w:bottom w:val="none" w:sz="0" w:space="0" w:color="auto"/>
        <w:right w:val="none" w:sz="0" w:space="0" w:color="auto"/>
      </w:divBdr>
    </w:div>
    <w:div w:id="18499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Murder Rate and poverty</a:t>
            </a:r>
            <a:r>
              <a:rPr lang="en-US" baseline="0"/>
              <a:t> </a:t>
            </a:r>
            <a:endParaRPr lang="en-US"/>
          </a:p>
        </c:rich>
      </c:tx>
      <c:layout/>
    </c:title>
    <c:plotArea>
      <c:layout/>
      <c:scatterChart>
        <c:scatterStyle val="lineMarker"/>
        <c:ser>
          <c:idx val="0"/>
          <c:order val="0"/>
          <c:tx>
            <c:strRef>
              <c:f>Sheet1!$C$1</c:f>
              <c:strCache>
                <c:ptCount val="1"/>
                <c:pt idx="0">
                  <c:v>Murder Rate</c:v>
                </c:pt>
              </c:strCache>
            </c:strRef>
          </c:tx>
          <c:spPr>
            <a:ln w="28575">
              <a:noFill/>
            </a:ln>
          </c:spPr>
          <c:trendline>
            <c:trendlineType val="linear"/>
            <c:dispRSqr val="1"/>
            <c:dispEq val="1"/>
            <c:trendlineLbl>
              <c:layout>
                <c:manualLayout>
                  <c:x val="0.17972747156605406"/>
                  <c:y val="-0.18125036453776611"/>
                </c:manualLayout>
              </c:layout>
              <c:numFmt formatCode="General" sourceLinked="0"/>
            </c:trendlineLbl>
          </c:trendline>
          <c:xVal>
            <c:numRef>
              <c:f>Sheet1!$B$2:$B$22</c:f>
              <c:numCache>
                <c:formatCode>0.0%</c:formatCode>
                <c:ptCount val="21"/>
                <c:pt idx="0">
                  <c:v>9.5000000000000029E-2</c:v>
                </c:pt>
                <c:pt idx="1">
                  <c:v>0.111</c:v>
                </c:pt>
                <c:pt idx="2">
                  <c:v>0.12400000000000003</c:v>
                </c:pt>
                <c:pt idx="3">
                  <c:v>0.12100000000000002</c:v>
                </c:pt>
                <c:pt idx="4">
                  <c:v>0.14600000000000005</c:v>
                </c:pt>
                <c:pt idx="5">
                  <c:v>0.13500000000000001</c:v>
                </c:pt>
                <c:pt idx="6">
                  <c:v>0.14200000000000004</c:v>
                </c:pt>
                <c:pt idx="7">
                  <c:v>0.15500000000000005</c:v>
                </c:pt>
                <c:pt idx="8">
                  <c:v>0.15900000000000006</c:v>
                </c:pt>
                <c:pt idx="9">
                  <c:v>0.16700000000000001</c:v>
                </c:pt>
                <c:pt idx="10">
                  <c:v>0.16800000000000001</c:v>
                </c:pt>
                <c:pt idx="11">
                  <c:v>0.17400000000000004</c:v>
                </c:pt>
                <c:pt idx="12">
                  <c:v>0.17100000000000001</c:v>
                </c:pt>
                <c:pt idx="13">
                  <c:v>0.18500000000000005</c:v>
                </c:pt>
                <c:pt idx="14">
                  <c:v>0.112</c:v>
                </c:pt>
                <c:pt idx="15">
                  <c:v>0.17</c:v>
                </c:pt>
                <c:pt idx="16">
                  <c:v>0.13800000000000001</c:v>
                </c:pt>
                <c:pt idx="17">
                  <c:v>0.21300000000000005</c:v>
                </c:pt>
                <c:pt idx="18">
                  <c:v>0.13500000000000001</c:v>
                </c:pt>
                <c:pt idx="19">
                  <c:v>0.10800000000000003</c:v>
                </c:pt>
                <c:pt idx="20">
                  <c:v>0.17900000000000005</c:v>
                </c:pt>
              </c:numCache>
            </c:numRef>
          </c:xVal>
          <c:yVal>
            <c:numRef>
              <c:f>Sheet1!$C$2:$C$22</c:f>
              <c:numCache>
                <c:formatCode>0.0%</c:formatCode>
                <c:ptCount val="21"/>
                <c:pt idx="0">
                  <c:v>3.7000000000000012E-2</c:v>
                </c:pt>
                <c:pt idx="1">
                  <c:v>1.5000000000000005E-2</c:v>
                </c:pt>
                <c:pt idx="2">
                  <c:v>3.2000000000000008E-2</c:v>
                </c:pt>
                <c:pt idx="3">
                  <c:v>3.2000000000000008E-2</c:v>
                </c:pt>
                <c:pt idx="4">
                  <c:v>5.5000000000000007E-2</c:v>
                </c:pt>
                <c:pt idx="5">
                  <c:v>0.05</c:v>
                </c:pt>
                <c:pt idx="6">
                  <c:v>6.3E-2</c:v>
                </c:pt>
                <c:pt idx="7">
                  <c:v>5.400000000000002E-2</c:v>
                </c:pt>
                <c:pt idx="8">
                  <c:v>4.0000000000000015E-2</c:v>
                </c:pt>
                <c:pt idx="9">
                  <c:v>7.4000000000000024E-2</c:v>
                </c:pt>
                <c:pt idx="10">
                  <c:v>7.1000000000000008E-2</c:v>
                </c:pt>
                <c:pt idx="11">
                  <c:v>5.400000000000002E-2</c:v>
                </c:pt>
                <c:pt idx="12">
                  <c:v>4.300000000000001E-2</c:v>
                </c:pt>
                <c:pt idx="13">
                  <c:v>6.0000000000000019E-2</c:v>
                </c:pt>
                <c:pt idx="14">
                  <c:v>5.400000000000002E-2</c:v>
                </c:pt>
                <c:pt idx="15">
                  <c:v>5.400000000000002E-2</c:v>
                </c:pt>
                <c:pt idx="16">
                  <c:v>6.7000000000000004E-2</c:v>
                </c:pt>
                <c:pt idx="17">
                  <c:v>5.5000000000000007E-2</c:v>
                </c:pt>
                <c:pt idx="18">
                  <c:v>3.2000000000000008E-2</c:v>
                </c:pt>
                <c:pt idx="19">
                  <c:v>4.7000000000000014E-2</c:v>
                </c:pt>
                <c:pt idx="20">
                  <c:v>0.1</c:v>
                </c:pt>
              </c:numCache>
            </c:numRef>
          </c:yVal>
        </c:ser>
        <c:axId val="76976128"/>
        <c:axId val="76978816"/>
      </c:scatterChart>
      <c:valAx>
        <c:axId val="76976128"/>
        <c:scaling>
          <c:orientation val="minMax"/>
        </c:scaling>
        <c:axPos val="b"/>
        <c:title>
          <c:tx>
            <c:rich>
              <a:bodyPr/>
              <a:lstStyle/>
              <a:p>
                <a:pPr>
                  <a:defRPr/>
                </a:pPr>
                <a:r>
                  <a:rPr lang="en-US"/>
                  <a:t>Poverty</a:t>
                </a:r>
                <a:r>
                  <a:rPr lang="en-US" baseline="0"/>
                  <a:t> rate</a:t>
                </a:r>
                <a:endParaRPr lang="en-US"/>
              </a:p>
            </c:rich>
          </c:tx>
          <c:layout/>
        </c:title>
        <c:numFmt formatCode="0.0%" sourceLinked="1"/>
        <c:tickLblPos val="nextTo"/>
        <c:crossAx val="76978816"/>
        <c:crosses val="autoZero"/>
        <c:crossBetween val="midCat"/>
      </c:valAx>
      <c:valAx>
        <c:axId val="76978816"/>
        <c:scaling>
          <c:orientation val="minMax"/>
        </c:scaling>
        <c:axPos val="l"/>
        <c:majorGridlines/>
        <c:title>
          <c:tx>
            <c:rich>
              <a:bodyPr rot="-5400000" vert="horz"/>
              <a:lstStyle/>
              <a:p>
                <a:pPr>
                  <a:defRPr/>
                </a:pPr>
                <a:r>
                  <a:rPr lang="en-US"/>
                  <a:t>Murder</a:t>
                </a:r>
                <a:r>
                  <a:rPr lang="en-US" baseline="0"/>
                  <a:t> rate </a:t>
                </a:r>
                <a:endParaRPr lang="en-US"/>
              </a:p>
            </c:rich>
          </c:tx>
          <c:layout/>
        </c:title>
        <c:numFmt formatCode="0.0%" sourceLinked="1"/>
        <c:tickLblPos val="nextTo"/>
        <c:crossAx val="76976128"/>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Sheet1!$B$2</c:f>
              <c:strCache>
                <c:ptCount val="1"/>
                <c:pt idx="0">
                  <c:v>New York, New York</c:v>
                </c:pt>
              </c:strCache>
            </c:strRef>
          </c:tx>
          <c:cat>
            <c:numRef>
              <c:f>Sheet1!$A$3:$A$14</c:f>
              <c:numCache>
                <c:formatCode>General</c:formatCode>
                <c:ptCount val="12"/>
                <c:pt idx="0">
                  <c:v>1999</c:v>
                </c:pt>
                <c:pt idx="1">
                  <c:v>2000</c:v>
                </c:pt>
                <c:pt idx="2">
                  <c:v>2002</c:v>
                </c:pt>
                <c:pt idx="3">
                  <c:v>2003</c:v>
                </c:pt>
                <c:pt idx="4">
                  <c:v>2004</c:v>
                </c:pt>
                <c:pt idx="5">
                  <c:v>2005</c:v>
                </c:pt>
                <c:pt idx="6">
                  <c:v>2006</c:v>
                </c:pt>
                <c:pt idx="7">
                  <c:v>2007</c:v>
                </c:pt>
                <c:pt idx="8">
                  <c:v>2008</c:v>
                </c:pt>
                <c:pt idx="9">
                  <c:v>2009</c:v>
                </c:pt>
                <c:pt idx="10">
                  <c:v>2010</c:v>
                </c:pt>
                <c:pt idx="11">
                  <c:v>2011</c:v>
                </c:pt>
              </c:numCache>
            </c:numRef>
          </c:cat>
          <c:val>
            <c:numRef>
              <c:f>Sheet1!$B$3:$B$14</c:f>
              <c:numCache>
                <c:formatCode>0.0%</c:formatCode>
                <c:ptCount val="12"/>
                <c:pt idx="0">
                  <c:v>9.0000000000000024E-2</c:v>
                </c:pt>
                <c:pt idx="1">
                  <c:v>8.7000000000000022E-2</c:v>
                </c:pt>
                <c:pt idx="2">
                  <c:v>7.3000000000000009E-2</c:v>
                </c:pt>
                <c:pt idx="3">
                  <c:v>7.4000000000000024E-2</c:v>
                </c:pt>
                <c:pt idx="4">
                  <c:v>7.0000000000000021E-2</c:v>
                </c:pt>
                <c:pt idx="5">
                  <c:v>6.6000000000000003E-2</c:v>
                </c:pt>
                <c:pt idx="6">
                  <c:v>7.3000000000000009E-2</c:v>
                </c:pt>
                <c:pt idx="7">
                  <c:v>6.0000000000000019E-2</c:v>
                </c:pt>
                <c:pt idx="8">
                  <c:v>6.3E-2</c:v>
                </c:pt>
                <c:pt idx="9">
                  <c:v>5.6000000000000001E-2</c:v>
                </c:pt>
                <c:pt idx="10">
                  <c:v>6.4000000000000015E-2</c:v>
                </c:pt>
                <c:pt idx="11">
                  <c:v>6.3E-2</c:v>
                </c:pt>
              </c:numCache>
            </c:numRef>
          </c:val>
        </c:ser>
        <c:ser>
          <c:idx val="1"/>
          <c:order val="1"/>
          <c:tx>
            <c:strRef>
              <c:f>Sheet1!$C$2</c:f>
              <c:strCache>
                <c:ptCount val="1"/>
                <c:pt idx="0">
                  <c:v>Los Angeles, California</c:v>
                </c:pt>
              </c:strCache>
            </c:strRef>
          </c:tx>
          <c:cat>
            <c:numRef>
              <c:f>Sheet1!$A$3:$A$14</c:f>
              <c:numCache>
                <c:formatCode>General</c:formatCode>
                <c:ptCount val="12"/>
                <c:pt idx="0">
                  <c:v>1999</c:v>
                </c:pt>
                <c:pt idx="1">
                  <c:v>2000</c:v>
                </c:pt>
                <c:pt idx="2">
                  <c:v>2002</c:v>
                </c:pt>
                <c:pt idx="3">
                  <c:v>2003</c:v>
                </c:pt>
                <c:pt idx="4">
                  <c:v>2004</c:v>
                </c:pt>
                <c:pt idx="5">
                  <c:v>2005</c:v>
                </c:pt>
                <c:pt idx="6">
                  <c:v>2006</c:v>
                </c:pt>
                <c:pt idx="7">
                  <c:v>2007</c:v>
                </c:pt>
                <c:pt idx="8">
                  <c:v>2008</c:v>
                </c:pt>
                <c:pt idx="9">
                  <c:v>2009</c:v>
                </c:pt>
                <c:pt idx="10">
                  <c:v>2010</c:v>
                </c:pt>
                <c:pt idx="11">
                  <c:v>2011</c:v>
                </c:pt>
              </c:numCache>
            </c:numRef>
          </c:cat>
          <c:val>
            <c:numRef>
              <c:f>Sheet1!$C$3:$C$14</c:f>
              <c:numCache>
                <c:formatCode>0.0%</c:formatCode>
                <c:ptCount val="12"/>
                <c:pt idx="0">
                  <c:v>0.11600000000000002</c:v>
                </c:pt>
                <c:pt idx="1">
                  <c:v>0.14800000000000005</c:v>
                </c:pt>
                <c:pt idx="2">
                  <c:v>0.17100000000000001</c:v>
                </c:pt>
                <c:pt idx="3">
                  <c:v>0.13400000000000001</c:v>
                </c:pt>
                <c:pt idx="4">
                  <c:v>0.13400000000000001</c:v>
                </c:pt>
                <c:pt idx="5">
                  <c:v>0.126</c:v>
                </c:pt>
                <c:pt idx="6">
                  <c:v>0.12400000000000003</c:v>
                </c:pt>
                <c:pt idx="7">
                  <c:v>0.10200000000000002</c:v>
                </c:pt>
                <c:pt idx="8">
                  <c:v>0.1</c:v>
                </c:pt>
                <c:pt idx="9">
                  <c:v>8.1000000000000016E-2</c:v>
                </c:pt>
                <c:pt idx="10">
                  <c:v>7.6000000000000012E-2</c:v>
                </c:pt>
                <c:pt idx="11">
                  <c:v>7.7000000000000013E-2</c:v>
                </c:pt>
              </c:numCache>
            </c:numRef>
          </c:val>
        </c:ser>
        <c:ser>
          <c:idx val="2"/>
          <c:order val="2"/>
          <c:tx>
            <c:strRef>
              <c:f>Sheet1!$D$2</c:f>
              <c:strCache>
                <c:ptCount val="1"/>
                <c:pt idx="0">
                  <c:v>Plesantville ,New Jersey </c:v>
                </c:pt>
              </c:strCache>
            </c:strRef>
          </c:tx>
          <c:cat>
            <c:numRef>
              <c:f>Sheet1!$A$3:$A$14</c:f>
              <c:numCache>
                <c:formatCode>General</c:formatCode>
                <c:ptCount val="12"/>
                <c:pt idx="0">
                  <c:v>1999</c:v>
                </c:pt>
                <c:pt idx="1">
                  <c:v>2000</c:v>
                </c:pt>
                <c:pt idx="2">
                  <c:v>2002</c:v>
                </c:pt>
                <c:pt idx="3">
                  <c:v>2003</c:v>
                </c:pt>
                <c:pt idx="4">
                  <c:v>2004</c:v>
                </c:pt>
                <c:pt idx="5">
                  <c:v>2005</c:v>
                </c:pt>
                <c:pt idx="6">
                  <c:v>2006</c:v>
                </c:pt>
                <c:pt idx="7">
                  <c:v>2007</c:v>
                </c:pt>
                <c:pt idx="8">
                  <c:v>2008</c:v>
                </c:pt>
                <c:pt idx="9">
                  <c:v>2009</c:v>
                </c:pt>
                <c:pt idx="10">
                  <c:v>2010</c:v>
                </c:pt>
                <c:pt idx="11">
                  <c:v>2011</c:v>
                </c:pt>
              </c:numCache>
            </c:numRef>
          </c:cat>
          <c:val>
            <c:numRef>
              <c:f>Sheet1!$D$3:$D$14</c:f>
              <c:numCache>
                <c:formatCode>0.0%</c:formatCode>
                <c:ptCount val="12"/>
                <c:pt idx="0">
                  <c:v>6.0000000000000019E-2</c:v>
                </c:pt>
                <c:pt idx="1">
                  <c:v>0</c:v>
                </c:pt>
                <c:pt idx="2">
                  <c:v>5.2000000000000018E-2</c:v>
                </c:pt>
                <c:pt idx="3">
                  <c:v>0.20900000000000005</c:v>
                </c:pt>
                <c:pt idx="4">
                  <c:v>0.15700000000000006</c:v>
                </c:pt>
                <c:pt idx="5">
                  <c:v>5.2000000000000018E-2</c:v>
                </c:pt>
                <c:pt idx="6">
                  <c:v>5.3000000000000012E-2</c:v>
                </c:pt>
                <c:pt idx="7">
                  <c:v>0.15900000000000006</c:v>
                </c:pt>
                <c:pt idx="8">
                  <c:v>5.3000000000000012E-2</c:v>
                </c:pt>
                <c:pt idx="9">
                  <c:v>0.21200000000000005</c:v>
                </c:pt>
                <c:pt idx="10">
                  <c:v>0.15800000000000006</c:v>
                </c:pt>
                <c:pt idx="11">
                  <c:v>0.14800000000000005</c:v>
                </c:pt>
              </c:numCache>
            </c:numRef>
          </c:val>
        </c:ser>
        <c:marker val="1"/>
        <c:axId val="115746304"/>
        <c:axId val="115748224"/>
      </c:lineChart>
      <c:catAx>
        <c:axId val="115746304"/>
        <c:scaling>
          <c:orientation val="minMax"/>
        </c:scaling>
        <c:axPos val="b"/>
        <c:numFmt formatCode="General" sourceLinked="1"/>
        <c:tickLblPos val="nextTo"/>
        <c:crossAx val="115748224"/>
        <c:crosses val="autoZero"/>
        <c:auto val="1"/>
        <c:lblAlgn val="ctr"/>
        <c:lblOffset val="100"/>
      </c:catAx>
      <c:valAx>
        <c:axId val="115748224"/>
        <c:scaling>
          <c:orientation val="minMax"/>
        </c:scaling>
        <c:axPos val="l"/>
        <c:majorGridlines/>
        <c:numFmt formatCode="0.0%" sourceLinked="1"/>
        <c:tickLblPos val="nextTo"/>
        <c:crossAx val="115746304"/>
        <c:crosses val="autoZero"/>
        <c:crossBetween val="between"/>
      </c:valAx>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Bruger</cp:lastModifiedBy>
  <cp:revision>2</cp:revision>
  <dcterms:created xsi:type="dcterms:W3CDTF">2014-04-04T12:28:00Z</dcterms:created>
  <dcterms:modified xsi:type="dcterms:W3CDTF">2014-04-04T12:28:00Z</dcterms:modified>
</cp:coreProperties>
</file>