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31B" w:rsidRPr="0004431B" w:rsidRDefault="0004431B" w:rsidP="003C603C">
      <w:pPr>
        <w:spacing w:after="0" w:line="312" w:lineRule="atLeast"/>
        <w:outlineLvl w:val="1"/>
        <w:rPr>
          <w:rFonts w:ascii="Tahoma" w:eastAsia="Times New Roman" w:hAnsi="Tahoma" w:cs="Tahoma"/>
          <w:b/>
          <w:bCs/>
          <w:kern w:val="36"/>
          <w:sz w:val="24"/>
          <w:szCs w:val="24"/>
        </w:rPr>
      </w:pPr>
      <w:r w:rsidRPr="0004431B">
        <w:rPr>
          <w:rFonts w:ascii="Tahoma" w:eastAsia="Times New Roman" w:hAnsi="Tahoma" w:cs="Tahoma"/>
          <w:b/>
          <w:bCs/>
          <w:kern w:val="36"/>
          <w:sz w:val="24"/>
          <w:szCs w:val="24"/>
        </w:rPr>
        <w:t>https://openlab.citytech.cuny.edu/livinglab/train-the-trainers-workshop/</w:t>
      </w:r>
    </w:p>
    <w:p w:rsidR="003C603C" w:rsidRPr="0004431B" w:rsidRDefault="003C603C" w:rsidP="003C603C">
      <w:pPr>
        <w:spacing w:after="0" w:line="312" w:lineRule="atLeast"/>
        <w:outlineLvl w:val="1"/>
        <w:rPr>
          <w:rFonts w:ascii="Tahoma" w:eastAsia="Times New Roman" w:hAnsi="Tahoma" w:cs="Tahoma"/>
          <w:b/>
          <w:bCs/>
          <w:kern w:val="36"/>
          <w:sz w:val="24"/>
          <w:szCs w:val="24"/>
        </w:rPr>
      </w:pPr>
      <w:r w:rsidRPr="0004431B">
        <w:rPr>
          <w:rFonts w:ascii="Tahoma" w:eastAsia="Times New Roman" w:hAnsi="Tahoma" w:cs="Tahoma"/>
          <w:b/>
          <w:bCs/>
          <w:kern w:val="36"/>
          <w:sz w:val="24"/>
          <w:szCs w:val="24"/>
        </w:rPr>
        <w:t>Train the Trainers</w:t>
      </w:r>
    </w:p>
    <w:p w:rsidR="003C603C" w:rsidRPr="003C603C" w:rsidRDefault="003C603C" w:rsidP="003C603C">
      <w:pPr>
        <w:spacing w:before="100" w:beforeAutospacing="1" w:after="180" w:line="300" w:lineRule="atLeast"/>
        <w:rPr>
          <w:rFonts w:ascii="Verdana" w:eastAsia="Times New Roman" w:hAnsi="Verdana" w:cs="Tahoma"/>
          <w:sz w:val="21"/>
          <w:szCs w:val="21"/>
        </w:rPr>
      </w:pPr>
      <w:r w:rsidRPr="003C603C">
        <w:rPr>
          <w:rFonts w:ascii="Verdana" w:eastAsia="Times New Roman" w:hAnsi="Verdana" w:cs="Tahoma"/>
          <w:noProof/>
          <w:color w:val="0000FF"/>
          <w:sz w:val="21"/>
          <w:szCs w:val="21"/>
        </w:rPr>
        <w:drawing>
          <wp:inline distT="0" distB="0" distL="0" distR="0" wp14:anchorId="657F1FBB" wp14:editId="37A68904">
            <wp:extent cx="2857500" cy="762000"/>
            <wp:effectExtent l="0" t="0" r="0" b="0"/>
            <wp:docPr id="1" name="Picture 1" descr="llab_logogre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ab_logogre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bookmarkStart w:id="0" w:name="_GoBack"/>
      <w:bookmarkEnd w:id="0"/>
    </w:p>
    <w:p w:rsidR="003C603C" w:rsidRPr="003C603C" w:rsidRDefault="003C603C" w:rsidP="003C603C">
      <w:pPr>
        <w:spacing w:before="100" w:beforeAutospacing="1" w:after="180" w:line="300" w:lineRule="atLeast"/>
        <w:rPr>
          <w:rFonts w:ascii="Verdana" w:eastAsia="Times New Roman" w:hAnsi="Verdana" w:cs="Tahoma"/>
          <w:sz w:val="21"/>
          <w:szCs w:val="21"/>
        </w:rPr>
      </w:pPr>
      <w:r w:rsidRPr="003C603C">
        <w:rPr>
          <w:rFonts w:ascii="Verdana" w:eastAsia="Times New Roman" w:hAnsi="Verdana" w:cs="Tahoma"/>
          <w:b/>
          <w:bCs/>
          <w:sz w:val="21"/>
          <w:szCs w:val="21"/>
        </w:rPr>
        <w:t>Train the Trainers with the Living Lab and Faculty Commons</w:t>
      </w:r>
      <w:proofErr w:type="gramStart"/>
      <w:r w:rsidRPr="003C603C">
        <w:rPr>
          <w:rFonts w:ascii="Verdana" w:eastAsia="Times New Roman" w:hAnsi="Verdana" w:cs="Tahoma"/>
          <w:b/>
          <w:bCs/>
          <w:sz w:val="21"/>
          <w:szCs w:val="21"/>
        </w:rPr>
        <w:t>:</w:t>
      </w:r>
      <w:proofErr w:type="gramEnd"/>
      <w:r w:rsidRPr="003C603C">
        <w:rPr>
          <w:rFonts w:ascii="Verdana" w:eastAsia="Times New Roman" w:hAnsi="Verdana" w:cs="Tahoma"/>
          <w:b/>
          <w:bCs/>
          <w:sz w:val="21"/>
          <w:szCs w:val="21"/>
        </w:rPr>
        <w:br/>
        <w:t>Effective Workshop Design</w:t>
      </w:r>
    </w:p>
    <w:p w:rsidR="003C603C" w:rsidRPr="003C603C" w:rsidRDefault="003C603C" w:rsidP="003C603C">
      <w:pPr>
        <w:spacing w:before="100" w:beforeAutospacing="1" w:after="180" w:line="300" w:lineRule="atLeast"/>
        <w:rPr>
          <w:rFonts w:ascii="Verdana" w:eastAsia="Times New Roman" w:hAnsi="Verdana" w:cs="Tahoma"/>
          <w:sz w:val="21"/>
          <w:szCs w:val="21"/>
        </w:rPr>
      </w:pPr>
      <w:r w:rsidRPr="003C603C">
        <w:rPr>
          <w:rFonts w:ascii="Verdana" w:eastAsia="Times New Roman" w:hAnsi="Verdana" w:cs="Tahoma"/>
          <w:sz w:val="21"/>
          <w:szCs w:val="21"/>
        </w:rPr>
        <w:t xml:space="preserve">This workshop was developed collaboratively by the Living Lab General Education Seminar and the Faculty Commons and was offered a total of 5 times in the </w:t>
      </w:r>
      <w:proofErr w:type="gramStart"/>
      <w:r w:rsidRPr="003C603C">
        <w:rPr>
          <w:rFonts w:ascii="Verdana" w:eastAsia="Times New Roman" w:hAnsi="Verdana" w:cs="Tahoma"/>
          <w:sz w:val="21"/>
          <w:szCs w:val="21"/>
        </w:rPr>
        <w:t>Spring</w:t>
      </w:r>
      <w:proofErr w:type="gramEnd"/>
      <w:r w:rsidRPr="003C603C">
        <w:rPr>
          <w:rFonts w:ascii="Verdana" w:eastAsia="Times New Roman" w:hAnsi="Verdana" w:cs="Tahoma"/>
          <w:sz w:val="21"/>
          <w:szCs w:val="21"/>
        </w:rPr>
        <w:t xml:space="preserve"> of 2015.</w:t>
      </w:r>
    </w:p>
    <w:p w:rsidR="003C603C" w:rsidRPr="003C603C" w:rsidRDefault="003C603C" w:rsidP="003C603C">
      <w:pPr>
        <w:spacing w:before="100" w:beforeAutospacing="1" w:after="180" w:line="300" w:lineRule="atLeast"/>
        <w:rPr>
          <w:rFonts w:ascii="Verdana" w:eastAsia="Times New Roman" w:hAnsi="Verdana" w:cs="Tahoma"/>
          <w:sz w:val="21"/>
          <w:szCs w:val="21"/>
        </w:rPr>
      </w:pPr>
      <w:r w:rsidRPr="003C603C">
        <w:rPr>
          <w:rFonts w:ascii="Verdana" w:eastAsia="Times New Roman" w:hAnsi="Verdana" w:cs="Tahoma"/>
          <w:b/>
          <w:bCs/>
          <w:sz w:val="21"/>
          <w:szCs w:val="21"/>
        </w:rPr>
        <w:t>Objective</w:t>
      </w:r>
      <w:r w:rsidRPr="003C603C">
        <w:rPr>
          <w:rFonts w:ascii="Verdana" w:eastAsia="Times New Roman" w:hAnsi="Verdana" w:cs="Tahoma"/>
          <w:sz w:val="21"/>
          <w:szCs w:val="21"/>
        </w:rPr>
        <w:t xml:space="preserve">.  Introduce participants to an array of useful techniques that will help them provide a safe space for other faculty in their department to question, share, </w:t>
      </w:r>
      <w:proofErr w:type="gramStart"/>
      <w:r w:rsidRPr="003C603C">
        <w:rPr>
          <w:rFonts w:ascii="Verdana" w:eastAsia="Times New Roman" w:hAnsi="Verdana" w:cs="Tahoma"/>
          <w:sz w:val="21"/>
          <w:szCs w:val="21"/>
        </w:rPr>
        <w:t>critique</w:t>
      </w:r>
      <w:proofErr w:type="gramEnd"/>
      <w:r w:rsidRPr="003C603C">
        <w:rPr>
          <w:rFonts w:ascii="Verdana" w:eastAsia="Times New Roman" w:hAnsi="Verdana" w:cs="Tahoma"/>
          <w:sz w:val="21"/>
          <w:szCs w:val="21"/>
        </w:rPr>
        <w:t xml:space="preserve"> and develop over time.</w:t>
      </w:r>
    </w:p>
    <w:p w:rsidR="003C603C" w:rsidRPr="003C603C" w:rsidRDefault="003C603C" w:rsidP="003C603C">
      <w:pPr>
        <w:spacing w:before="100" w:beforeAutospacing="1" w:after="180" w:line="300" w:lineRule="atLeast"/>
        <w:rPr>
          <w:rFonts w:ascii="Verdana" w:eastAsia="Times New Roman" w:hAnsi="Verdana" w:cs="Tahoma"/>
          <w:sz w:val="21"/>
          <w:szCs w:val="21"/>
        </w:rPr>
      </w:pPr>
      <w:r w:rsidRPr="003C603C">
        <w:rPr>
          <w:rFonts w:ascii="Verdana" w:eastAsia="Times New Roman" w:hAnsi="Verdana" w:cs="Tahoma"/>
          <w:b/>
          <w:bCs/>
          <w:sz w:val="21"/>
          <w:szCs w:val="21"/>
        </w:rPr>
        <w:t>Workshop Materials</w:t>
      </w:r>
    </w:p>
    <w:p w:rsidR="003C603C" w:rsidRPr="003C603C" w:rsidRDefault="0004431B" w:rsidP="003C603C">
      <w:pPr>
        <w:spacing w:before="100" w:beforeAutospacing="1" w:after="180" w:line="300" w:lineRule="atLeast"/>
        <w:rPr>
          <w:rFonts w:ascii="Verdana" w:eastAsia="Times New Roman" w:hAnsi="Verdana" w:cs="Tahoma"/>
          <w:sz w:val="21"/>
          <w:szCs w:val="21"/>
        </w:rPr>
      </w:pPr>
      <w:hyperlink r:id="rId6" w:history="1">
        <w:r w:rsidR="003C603C" w:rsidRPr="003C603C">
          <w:rPr>
            <w:rFonts w:ascii="Verdana" w:eastAsia="Times New Roman" w:hAnsi="Verdana" w:cs="Tahoma"/>
            <w:color w:val="0000FF"/>
            <w:sz w:val="21"/>
            <w:szCs w:val="21"/>
          </w:rPr>
          <w:t>Agenda</w:t>
        </w:r>
      </w:hyperlink>
      <w:r w:rsidR="003C603C" w:rsidRPr="003C603C">
        <w:rPr>
          <w:rFonts w:ascii="Verdana" w:eastAsia="Times New Roman" w:hAnsi="Verdana" w:cs="Tahoma"/>
          <w:sz w:val="21"/>
          <w:szCs w:val="21"/>
        </w:rPr>
        <w:t> – The agenda distributed to participants upon arrival</w:t>
      </w:r>
      <w:r w:rsidR="003C603C" w:rsidRPr="003C603C">
        <w:rPr>
          <w:rFonts w:ascii="Verdana" w:eastAsia="Times New Roman" w:hAnsi="Verdana" w:cs="Tahoma"/>
          <w:sz w:val="21"/>
          <w:szCs w:val="21"/>
        </w:rPr>
        <w:br/>
      </w:r>
      <w:hyperlink r:id="rId7" w:history="1">
        <w:r w:rsidR="003C603C" w:rsidRPr="003C603C">
          <w:rPr>
            <w:rFonts w:ascii="Verdana" w:eastAsia="Times New Roman" w:hAnsi="Verdana" w:cs="Tahoma"/>
            <w:color w:val="0000FF"/>
            <w:sz w:val="21"/>
            <w:szCs w:val="21"/>
          </w:rPr>
          <w:t>Facilitator Agenda</w:t>
        </w:r>
      </w:hyperlink>
      <w:r w:rsidR="003C603C" w:rsidRPr="003C603C">
        <w:rPr>
          <w:rFonts w:ascii="Verdana" w:eastAsia="Times New Roman" w:hAnsi="Verdana" w:cs="Tahoma"/>
          <w:sz w:val="21"/>
          <w:szCs w:val="21"/>
        </w:rPr>
        <w:t> – Agenda for use by facilitators, includes many details and notes</w:t>
      </w:r>
      <w:r w:rsidR="003C603C" w:rsidRPr="003C603C">
        <w:rPr>
          <w:rFonts w:ascii="Verdana" w:eastAsia="Times New Roman" w:hAnsi="Verdana" w:cs="Tahoma"/>
          <w:sz w:val="21"/>
          <w:szCs w:val="21"/>
        </w:rPr>
        <w:br/>
      </w:r>
      <w:hyperlink r:id="rId8" w:history="1">
        <w:r w:rsidR="003C603C" w:rsidRPr="003C603C">
          <w:rPr>
            <w:rFonts w:ascii="Verdana" w:eastAsia="Times New Roman" w:hAnsi="Verdana" w:cs="Tahoma"/>
            <w:color w:val="0000FF"/>
            <w:sz w:val="21"/>
            <w:szCs w:val="21"/>
          </w:rPr>
          <w:t>Worksheet Activity</w:t>
        </w:r>
      </w:hyperlink>
      <w:r w:rsidR="003C603C" w:rsidRPr="003C603C">
        <w:rPr>
          <w:rFonts w:ascii="Verdana" w:eastAsia="Times New Roman" w:hAnsi="Verdana" w:cs="Tahoma"/>
          <w:sz w:val="21"/>
          <w:szCs w:val="21"/>
        </w:rPr>
        <w:t> – Handout for use in the final activity of the worksheet (three questions to get you thinking about your own workshop design)</w:t>
      </w:r>
      <w:r w:rsidR="003C603C" w:rsidRPr="003C603C">
        <w:rPr>
          <w:rFonts w:ascii="Verdana" w:eastAsia="Times New Roman" w:hAnsi="Verdana" w:cs="Tahoma"/>
          <w:sz w:val="21"/>
          <w:szCs w:val="21"/>
        </w:rPr>
        <w:br/>
      </w:r>
      <w:hyperlink r:id="rId9" w:history="1">
        <w:r w:rsidR="003C603C" w:rsidRPr="003C603C">
          <w:rPr>
            <w:rFonts w:ascii="Verdana" w:eastAsia="Times New Roman" w:hAnsi="Verdana" w:cs="Tahoma"/>
            <w:color w:val="0000FF"/>
            <w:sz w:val="21"/>
            <w:szCs w:val="21"/>
          </w:rPr>
          <w:t>Considerations for Workshop Design</w:t>
        </w:r>
      </w:hyperlink>
      <w:r w:rsidR="003C603C" w:rsidRPr="003C603C">
        <w:rPr>
          <w:rFonts w:ascii="Verdana" w:eastAsia="Times New Roman" w:hAnsi="Verdana" w:cs="Tahoma"/>
          <w:sz w:val="21"/>
          <w:szCs w:val="21"/>
        </w:rPr>
        <w:t> – List of things to consider when designing a workshop.  This list was developed by the facilitators during the design process for the Train the Trainers workshop.  It is not intended to be exhaustive, but a working document.</w:t>
      </w:r>
      <w:r w:rsidR="003C603C" w:rsidRPr="003C603C">
        <w:rPr>
          <w:rFonts w:ascii="Verdana" w:eastAsia="Times New Roman" w:hAnsi="Verdana" w:cs="Tahoma"/>
          <w:sz w:val="21"/>
          <w:szCs w:val="21"/>
        </w:rPr>
        <w:br/>
      </w:r>
      <w:hyperlink r:id="rId10" w:history="1">
        <w:r w:rsidR="003C603C" w:rsidRPr="003C603C">
          <w:rPr>
            <w:rFonts w:ascii="Verdana" w:eastAsia="Times New Roman" w:hAnsi="Verdana" w:cs="Tahoma"/>
            <w:color w:val="0000FF"/>
            <w:sz w:val="21"/>
            <w:szCs w:val="21"/>
          </w:rPr>
          <w:t>Workshop Design Considerations – with contributions from workshop participants</w:t>
        </w:r>
      </w:hyperlink>
      <w:r w:rsidR="003C603C" w:rsidRPr="003C603C">
        <w:rPr>
          <w:rFonts w:ascii="Verdana" w:eastAsia="Times New Roman" w:hAnsi="Verdana" w:cs="Tahoma"/>
          <w:sz w:val="21"/>
          <w:szCs w:val="21"/>
        </w:rPr>
        <w:t xml:space="preserve"> – This is the updated version of the list above, and includes contributions from all five Train the Trainer workshops given in </w:t>
      </w:r>
      <w:proofErr w:type="gramStart"/>
      <w:r w:rsidR="003C603C" w:rsidRPr="003C603C">
        <w:rPr>
          <w:rFonts w:ascii="Verdana" w:eastAsia="Times New Roman" w:hAnsi="Verdana" w:cs="Tahoma"/>
          <w:sz w:val="21"/>
          <w:szCs w:val="21"/>
        </w:rPr>
        <w:t>Spring</w:t>
      </w:r>
      <w:proofErr w:type="gramEnd"/>
      <w:r w:rsidR="003C603C" w:rsidRPr="003C603C">
        <w:rPr>
          <w:rFonts w:ascii="Verdana" w:eastAsia="Times New Roman" w:hAnsi="Verdana" w:cs="Tahoma"/>
          <w:sz w:val="21"/>
          <w:szCs w:val="21"/>
        </w:rPr>
        <w:t xml:space="preserve"> 2015.</w:t>
      </w:r>
    </w:p>
    <w:p w:rsidR="003C603C" w:rsidRPr="003C603C" w:rsidRDefault="003C603C" w:rsidP="003C603C">
      <w:pPr>
        <w:spacing w:before="100" w:beforeAutospacing="1" w:after="180" w:line="300" w:lineRule="atLeast"/>
        <w:rPr>
          <w:rFonts w:ascii="Verdana" w:eastAsia="Times New Roman" w:hAnsi="Verdana" w:cs="Tahoma"/>
          <w:sz w:val="21"/>
          <w:szCs w:val="21"/>
        </w:rPr>
      </w:pPr>
      <w:r w:rsidRPr="003C603C">
        <w:rPr>
          <w:rFonts w:ascii="Verdana" w:eastAsia="Times New Roman" w:hAnsi="Verdana" w:cs="Tahoma"/>
          <w:sz w:val="21"/>
          <w:szCs w:val="21"/>
        </w:rPr>
        <w:t> </w:t>
      </w:r>
    </w:p>
    <w:p w:rsidR="003C603C" w:rsidRPr="003C603C" w:rsidRDefault="003C603C" w:rsidP="003C603C">
      <w:pPr>
        <w:spacing w:before="100" w:beforeAutospacing="1" w:after="180" w:line="300" w:lineRule="atLeast"/>
        <w:rPr>
          <w:rFonts w:ascii="Verdana" w:eastAsia="Times New Roman" w:hAnsi="Verdana" w:cs="Tahoma"/>
          <w:sz w:val="21"/>
          <w:szCs w:val="21"/>
        </w:rPr>
      </w:pPr>
      <w:r w:rsidRPr="003C603C">
        <w:rPr>
          <w:rFonts w:ascii="Verdana" w:eastAsia="Times New Roman" w:hAnsi="Verdana" w:cs="Tahoma"/>
          <w:b/>
          <w:bCs/>
          <w:sz w:val="21"/>
          <w:szCs w:val="21"/>
        </w:rPr>
        <w:t>Additional Resources for Effective Workshop Design</w:t>
      </w:r>
    </w:p>
    <w:p w:rsidR="003C603C" w:rsidRPr="003C603C" w:rsidRDefault="003C603C" w:rsidP="003C603C">
      <w:pPr>
        <w:spacing w:before="100" w:beforeAutospacing="1" w:after="180" w:line="300" w:lineRule="atLeast"/>
        <w:rPr>
          <w:rFonts w:ascii="Verdana" w:eastAsia="Times New Roman" w:hAnsi="Verdana" w:cs="Tahoma"/>
          <w:sz w:val="21"/>
          <w:szCs w:val="21"/>
        </w:rPr>
      </w:pPr>
      <w:r w:rsidRPr="003C603C">
        <w:rPr>
          <w:rFonts w:ascii="Verdana" w:eastAsia="Times New Roman" w:hAnsi="Verdana" w:cs="Tahoma"/>
          <w:sz w:val="21"/>
          <w:szCs w:val="21"/>
        </w:rPr>
        <w:t xml:space="preserve">Also take a look at </w:t>
      </w:r>
      <w:r w:rsidRPr="003C603C">
        <w:rPr>
          <w:rFonts w:ascii="Verdana" w:eastAsia="Times New Roman" w:hAnsi="Verdana" w:cs="Tahoma"/>
          <w:i/>
          <w:iCs/>
          <w:sz w:val="21"/>
          <w:szCs w:val="21"/>
        </w:rPr>
        <w:t>How People Learn: Bridging Research and Practice</w:t>
      </w:r>
      <w:r w:rsidRPr="003C603C">
        <w:rPr>
          <w:rFonts w:ascii="Verdana" w:eastAsia="Times New Roman" w:hAnsi="Verdana" w:cs="Tahoma"/>
          <w:sz w:val="21"/>
          <w:szCs w:val="21"/>
        </w:rPr>
        <w:t xml:space="preserve"> (National Academy of Sciences, 1999). A free PDF copy is available if you sign up on the </w:t>
      </w:r>
      <w:hyperlink r:id="rId11" w:tgtFrame="_blank" w:history="1">
        <w:r w:rsidRPr="003C603C">
          <w:rPr>
            <w:rFonts w:ascii="Verdana" w:eastAsia="Times New Roman" w:hAnsi="Verdana" w:cs="Tahoma"/>
            <w:color w:val="0000FF"/>
            <w:sz w:val="21"/>
            <w:szCs w:val="21"/>
          </w:rPr>
          <w:t>NAS website</w:t>
        </w:r>
      </w:hyperlink>
      <w:r w:rsidRPr="003C603C">
        <w:rPr>
          <w:rFonts w:ascii="Verdana" w:eastAsia="Times New Roman" w:hAnsi="Verdana" w:cs="Tahoma"/>
          <w:sz w:val="21"/>
          <w:szCs w:val="21"/>
        </w:rPr>
        <w:t>.</w:t>
      </w:r>
    </w:p>
    <w:p w:rsidR="003C603C" w:rsidRPr="003C603C" w:rsidRDefault="003C603C" w:rsidP="003C603C">
      <w:pPr>
        <w:spacing w:before="100" w:beforeAutospacing="1" w:after="180" w:line="300" w:lineRule="atLeast"/>
        <w:rPr>
          <w:rFonts w:ascii="Verdana" w:eastAsia="Times New Roman" w:hAnsi="Verdana" w:cs="Tahoma"/>
          <w:sz w:val="21"/>
          <w:szCs w:val="21"/>
        </w:rPr>
      </w:pPr>
      <w:r w:rsidRPr="003C603C">
        <w:rPr>
          <w:rFonts w:ascii="Verdana" w:eastAsia="Times New Roman" w:hAnsi="Verdana" w:cs="Tahoma"/>
          <w:sz w:val="21"/>
          <w:szCs w:val="21"/>
        </w:rPr>
        <w:t xml:space="preserve">City Tech’s </w:t>
      </w:r>
      <w:hyperlink r:id="rId12" w:tgtFrame="_blank" w:history="1">
        <w:r w:rsidRPr="003C603C">
          <w:rPr>
            <w:rFonts w:ascii="Verdana" w:eastAsia="Times New Roman" w:hAnsi="Verdana" w:cs="Tahoma"/>
            <w:color w:val="0000FF"/>
            <w:sz w:val="21"/>
            <w:szCs w:val="21"/>
          </w:rPr>
          <w:t>General Education Committee site.</w:t>
        </w:r>
      </w:hyperlink>
    </w:p>
    <w:p w:rsidR="003C603C" w:rsidRPr="003C603C" w:rsidRDefault="003C603C" w:rsidP="003C603C">
      <w:pPr>
        <w:spacing w:before="100" w:beforeAutospacing="1" w:after="180" w:line="300" w:lineRule="atLeast"/>
        <w:rPr>
          <w:rFonts w:ascii="Verdana" w:eastAsia="Times New Roman" w:hAnsi="Verdana" w:cs="Tahoma"/>
          <w:sz w:val="21"/>
          <w:szCs w:val="21"/>
        </w:rPr>
      </w:pPr>
      <w:r w:rsidRPr="003C603C">
        <w:rPr>
          <w:rFonts w:ascii="Verdana" w:eastAsia="Times New Roman" w:hAnsi="Verdana" w:cs="Tahoma"/>
          <w:sz w:val="21"/>
          <w:szCs w:val="21"/>
        </w:rPr>
        <w:lastRenderedPageBreak/>
        <w:t xml:space="preserve">City Tech’s </w:t>
      </w:r>
      <w:hyperlink r:id="rId13" w:tooltip="City Tech Faculty Commons" w:history="1">
        <w:proofErr w:type="gramStart"/>
        <w:r w:rsidRPr="003C603C">
          <w:rPr>
            <w:rFonts w:ascii="Verdana" w:eastAsia="Times New Roman" w:hAnsi="Verdana" w:cs="Tahoma"/>
            <w:color w:val="0000FF"/>
            <w:sz w:val="21"/>
            <w:szCs w:val="21"/>
          </w:rPr>
          <w:t>Faculty Commons</w:t>
        </w:r>
        <w:proofErr w:type="gramEnd"/>
        <w:r w:rsidRPr="003C603C">
          <w:rPr>
            <w:rFonts w:ascii="Verdana" w:eastAsia="Times New Roman" w:hAnsi="Verdana" w:cs="Tahoma"/>
            <w:color w:val="0000FF"/>
            <w:sz w:val="21"/>
            <w:szCs w:val="21"/>
          </w:rPr>
          <w:t xml:space="preserve"> site.</w:t>
        </w:r>
      </w:hyperlink>
    </w:p>
    <w:p w:rsidR="003C603C" w:rsidRPr="003C603C" w:rsidRDefault="003C603C" w:rsidP="003C603C">
      <w:pPr>
        <w:spacing w:before="100" w:beforeAutospacing="1" w:after="180" w:line="300" w:lineRule="atLeast"/>
        <w:rPr>
          <w:rFonts w:ascii="Verdana" w:eastAsia="Times New Roman" w:hAnsi="Verdana" w:cs="Tahoma"/>
          <w:sz w:val="21"/>
          <w:szCs w:val="21"/>
        </w:rPr>
      </w:pPr>
      <w:r w:rsidRPr="003C603C">
        <w:rPr>
          <w:rFonts w:ascii="Verdana" w:eastAsia="Times New Roman" w:hAnsi="Verdana" w:cs="Tahoma"/>
          <w:sz w:val="21"/>
          <w:szCs w:val="21"/>
        </w:rPr>
        <w:t> </w:t>
      </w:r>
    </w:p>
    <w:p w:rsidR="003C603C" w:rsidRPr="003C603C" w:rsidRDefault="003C603C" w:rsidP="003C603C">
      <w:pPr>
        <w:spacing w:before="100" w:beforeAutospacing="1" w:after="180" w:line="300" w:lineRule="atLeast"/>
        <w:rPr>
          <w:rFonts w:ascii="Verdana" w:eastAsia="Times New Roman" w:hAnsi="Verdana" w:cs="Tahoma"/>
          <w:sz w:val="21"/>
          <w:szCs w:val="21"/>
        </w:rPr>
      </w:pPr>
      <w:r w:rsidRPr="003C603C">
        <w:rPr>
          <w:rFonts w:ascii="Verdana" w:eastAsia="Times New Roman" w:hAnsi="Verdana" w:cs="Tahoma"/>
          <w:b/>
          <w:bCs/>
          <w:sz w:val="21"/>
          <w:szCs w:val="21"/>
        </w:rPr>
        <w:t>Facilitator Reflections</w:t>
      </w:r>
    </w:p>
    <w:p w:rsidR="003C603C" w:rsidRPr="003C603C" w:rsidRDefault="003C603C" w:rsidP="003C603C">
      <w:pPr>
        <w:spacing w:before="100" w:beforeAutospacing="1" w:after="180" w:line="300" w:lineRule="atLeast"/>
        <w:rPr>
          <w:rFonts w:ascii="Verdana" w:eastAsia="Times New Roman" w:hAnsi="Verdana" w:cs="Tahoma"/>
          <w:sz w:val="21"/>
          <w:szCs w:val="21"/>
        </w:rPr>
      </w:pPr>
      <w:r w:rsidRPr="003C603C">
        <w:rPr>
          <w:rFonts w:ascii="Verdana" w:eastAsia="Times New Roman" w:hAnsi="Verdana" w:cs="Tahoma"/>
          <w:sz w:val="21"/>
          <w:szCs w:val="21"/>
        </w:rPr>
        <w:t xml:space="preserve">As noted in the Facilitator Agenda above, after each workshop the facilitators reflected (in writing) for 5 minutes on the experience.  We then discussed these with one another, and read through the participant reflections, and decided on adjustments to the agenda or materials for future meetings.   Here are some post-project </w:t>
      </w:r>
      <w:proofErr w:type="gramStart"/>
      <w:r w:rsidRPr="003C603C">
        <w:rPr>
          <w:rFonts w:ascii="Verdana" w:eastAsia="Times New Roman" w:hAnsi="Verdana" w:cs="Tahoma"/>
          <w:sz w:val="21"/>
          <w:szCs w:val="21"/>
        </w:rPr>
        <w:t>reflections, that</w:t>
      </w:r>
      <w:proofErr w:type="gramEnd"/>
      <w:r w:rsidRPr="003C603C">
        <w:rPr>
          <w:rFonts w:ascii="Verdana" w:eastAsia="Times New Roman" w:hAnsi="Verdana" w:cs="Tahoma"/>
          <w:sz w:val="21"/>
          <w:szCs w:val="21"/>
        </w:rPr>
        <w:t xml:space="preserve"> incorporate many of these ideas.</w:t>
      </w:r>
    </w:p>
    <w:p w:rsidR="003C603C" w:rsidRPr="003C603C" w:rsidRDefault="003C603C" w:rsidP="003C603C">
      <w:pPr>
        <w:spacing w:before="100" w:beforeAutospacing="1" w:after="180" w:line="300" w:lineRule="atLeast"/>
        <w:rPr>
          <w:rFonts w:ascii="Verdana" w:eastAsia="Times New Roman" w:hAnsi="Verdana" w:cs="Tahoma"/>
          <w:sz w:val="21"/>
          <w:szCs w:val="21"/>
        </w:rPr>
      </w:pPr>
      <w:r w:rsidRPr="003C603C">
        <w:rPr>
          <w:rFonts w:ascii="Verdana" w:eastAsia="Times New Roman" w:hAnsi="Verdana" w:cs="Tahoma"/>
          <w:b/>
          <w:bCs/>
          <w:i/>
          <w:iCs/>
          <w:sz w:val="21"/>
          <w:szCs w:val="21"/>
        </w:rPr>
        <w:t>Jonas Reitz:</w:t>
      </w:r>
    </w:p>
    <w:p w:rsidR="003C603C" w:rsidRPr="003C603C" w:rsidRDefault="003C603C" w:rsidP="003C603C">
      <w:pPr>
        <w:spacing w:before="100" w:beforeAutospacing="1" w:after="180" w:line="300" w:lineRule="atLeast"/>
        <w:rPr>
          <w:rFonts w:ascii="Verdana" w:eastAsia="Times New Roman" w:hAnsi="Verdana" w:cs="Tahoma"/>
          <w:sz w:val="21"/>
          <w:szCs w:val="21"/>
        </w:rPr>
      </w:pPr>
      <w:r w:rsidRPr="003C603C">
        <w:rPr>
          <w:rFonts w:ascii="Verdana" w:eastAsia="Times New Roman" w:hAnsi="Verdana" w:cs="Tahoma"/>
          <w:i/>
          <w:iCs/>
          <w:sz w:val="21"/>
          <w:szCs w:val="21"/>
        </w:rPr>
        <w:t xml:space="preserve">Logistics.  The first meeting led to the greatest number of changes to agenda.  Based on our experience, we shorted some activities, lengthened others, and added a section near the end “What did we just do?” in which we explicitly discussed the decisions behind some </w:t>
      </w:r>
      <w:proofErr w:type="gramStart"/>
      <w:r w:rsidRPr="003C603C">
        <w:rPr>
          <w:rFonts w:ascii="Verdana" w:eastAsia="Times New Roman" w:hAnsi="Verdana" w:cs="Tahoma"/>
          <w:i/>
          <w:iCs/>
          <w:sz w:val="21"/>
          <w:szCs w:val="21"/>
        </w:rPr>
        <w:t>of  our</w:t>
      </w:r>
      <w:proofErr w:type="gramEnd"/>
      <w:r w:rsidRPr="003C603C">
        <w:rPr>
          <w:rFonts w:ascii="Verdana" w:eastAsia="Times New Roman" w:hAnsi="Verdana" w:cs="Tahoma"/>
          <w:i/>
          <w:iCs/>
          <w:sz w:val="21"/>
          <w:szCs w:val="21"/>
        </w:rPr>
        <w:t xml:space="preserve"> workshop elements.  We also adjusted the Worksheet activity (rearranging the questions).  While later meetings sometimes deviated from the adjusted agenda, we never felt we needed to update it again (there will always be some variation, but we feel we were lucky to get to a pretty well-balanced timeline after the first meeting).</w:t>
      </w:r>
    </w:p>
    <w:p w:rsidR="003C603C" w:rsidRPr="003C603C" w:rsidRDefault="003C603C" w:rsidP="003C603C">
      <w:pPr>
        <w:spacing w:before="100" w:beforeAutospacing="1" w:after="180" w:line="300" w:lineRule="atLeast"/>
        <w:rPr>
          <w:rFonts w:ascii="Verdana" w:eastAsia="Times New Roman" w:hAnsi="Verdana" w:cs="Tahoma"/>
          <w:sz w:val="21"/>
          <w:szCs w:val="21"/>
        </w:rPr>
      </w:pPr>
      <w:r w:rsidRPr="003C603C">
        <w:rPr>
          <w:rFonts w:ascii="Verdana" w:eastAsia="Times New Roman" w:hAnsi="Verdana" w:cs="Tahoma"/>
          <w:i/>
          <w:iCs/>
          <w:sz w:val="21"/>
          <w:szCs w:val="21"/>
        </w:rPr>
        <w:t>General.  I participated as a facilitator in 4 of the 5 meetings, and it was surprising to me just how different the same agenda could be depending on the group.  There was a lot of variation in pace – and not always consistently across activities (some groups spent a long time in introductions, but moved quickly through group work, and so on).  There was also a lot of variation in participant mindset and preparation  Some had a very clear objective in mind, and were working towards it directly, while for others the workshop was a space to think about (&amp; try to clarify) the objective itself.    I appreciated the willingness of participants to throw themselves into the activities.  I also really enjoyed getting to know some new colleagues from around the college – I had many conversations that opened my eyes to different facets of the City Tech experience.  What fun!</w:t>
      </w:r>
    </w:p>
    <w:p w:rsidR="003C603C" w:rsidRPr="003C603C" w:rsidRDefault="003C603C" w:rsidP="003C603C">
      <w:pPr>
        <w:spacing w:before="100" w:beforeAutospacing="1" w:line="300" w:lineRule="atLeast"/>
        <w:rPr>
          <w:rFonts w:ascii="Verdana" w:eastAsia="Times New Roman" w:hAnsi="Verdana" w:cs="Tahoma"/>
          <w:sz w:val="21"/>
          <w:szCs w:val="21"/>
        </w:rPr>
      </w:pPr>
      <w:r w:rsidRPr="003C603C">
        <w:rPr>
          <w:rFonts w:ascii="Verdana" w:eastAsia="Times New Roman" w:hAnsi="Verdana" w:cs="Tahoma"/>
          <w:noProof/>
          <w:sz w:val="21"/>
          <w:szCs w:val="21"/>
        </w:rPr>
        <w:drawing>
          <wp:inline distT="0" distB="0" distL="0" distR="0" wp14:anchorId="58F12792" wp14:editId="4D850210">
            <wp:extent cx="2800350" cy="466725"/>
            <wp:effectExtent l="0" t="0" r="0" b="9525"/>
            <wp:docPr id="2" name="Picture 2" descr="Faculty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ulty Common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350" cy="466725"/>
                    </a:xfrm>
                    <a:prstGeom prst="rect">
                      <a:avLst/>
                    </a:prstGeom>
                    <a:noFill/>
                    <a:ln>
                      <a:noFill/>
                    </a:ln>
                  </pic:spPr>
                </pic:pic>
              </a:graphicData>
            </a:graphic>
          </wp:inline>
        </w:drawing>
      </w:r>
    </w:p>
    <w:p w:rsidR="00B55851" w:rsidRDefault="00B55851"/>
    <w:sectPr w:rsidR="00B55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3C"/>
    <w:rsid w:val="0004431B"/>
    <w:rsid w:val="003C603C"/>
    <w:rsid w:val="00B5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B5567-450E-4F23-ACDF-12214FE2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6655">
      <w:bodyDiv w:val="1"/>
      <w:marLeft w:val="0"/>
      <w:marRight w:val="0"/>
      <w:marTop w:val="0"/>
      <w:marBottom w:val="0"/>
      <w:divBdr>
        <w:top w:val="none" w:sz="0" w:space="0" w:color="auto"/>
        <w:left w:val="none" w:sz="0" w:space="0" w:color="auto"/>
        <w:bottom w:val="none" w:sz="0" w:space="0" w:color="auto"/>
        <w:right w:val="none" w:sz="0" w:space="0" w:color="auto"/>
      </w:divBdr>
      <w:divsChild>
        <w:div w:id="1298871814">
          <w:marLeft w:val="0"/>
          <w:marRight w:val="0"/>
          <w:marTop w:val="300"/>
          <w:marBottom w:val="0"/>
          <w:divBdr>
            <w:top w:val="none" w:sz="0" w:space="0" w:color="auto"/>
            <w:left w:val="none" w:sz="0" w:space="0" w:color="auto"/>
            <w:bottom w:val="none" w:sz="0" w:space="0" w:color="auto"/>
            <w:right w:val="none" w:sz="0" w:space="0" w:color="auto"/>
          </w:divBdr>
          <w:divsChild>
            <w:div w:id="1725594588">
              <w:marLeft w:val="0"/>
              <w:marRight w:val="0"/>
              <w:marTop w:val="0"/>
              <w:marBottom w:val="0"/>
              <w:divBdr>
                <w:top w:val="none" w:sz="0" w:space="0" w:color="auto"/>
                <w:left w:val="none" w:sz="0" w:space="0" w:color="auto"/>
                <w:bottom w:val="none" w:sz="0" w:space="0" w:color="auto"/>
                <w:right w:val="none" w:sz="0" w:space="0" w:color="auto"/>
              </w:divBdr>
              <w:divsChild>
                <w:div w:id="1249920711">
                  <w:marLeft w:val="3300"/>
                  <w:marRight w:val="3300"/>
                  <w:marTop w:val="0"/>
                  <w:marBottom w:val="0"/>
                  <w:divBdr>
                    <w:top w:val="none" w:sz="0" w:space="0" w:color="auto"/>
                    <w:left w:val="none" w:sz="0" w:space="0" w:color="auto"/>
                    <w:bottom w:val="none" w:sz="0" w:space="0" w:color="auto"/>
                    <w:right w:val="none" w:sz="0" w:space="0" w:color="auto"/>
                  </w:divBdr>
                  <w:divsChild>
                    <w:div w:id="2145543334">
                      <w:marLeft w:val="0"/>
                      <w:marRight w:val="0"/>
                      <w:marTop w:val="0"/>
                      <w:marBottom w:val="540"/>
                      <w:divBdr>
                        <w:top w:val="none" w:sz="0" w:space="0" w:color="auto"/>
                        <w:left w:val="none" w:sz="0" w:space="0" w:color="auto"/>
                        <w:bottom w:val="none" w:sz="0" w:space="0" w:color="auto"/>
                        <w:right w:val="none" w:sz="0" w:space="0" w:color="auto"/>
                      </w:divBdr>
                      <w:divsChild>
                        <w:div w:id="1471702927">
                          <w:marLeft w:val="0"/>
                          <w:marRight w:val="0"/>
                          <w:marTop w:val="0"/>
                          <w:marBottom w:val="0"/>
                          <w:divBdr>
                            <w:top w:val="none" w:sz="0" w:space="0" w:color="auto"/>
                            <w:left w:val="none" w:sz="0" w:space="0" w:color="auto"/>
                            <w:bottom w:val="none" w:sz="0" w:space="0" w:color="auto"/>
                            <w:right w:val="none" w:sz="0" w:space="0" w:color="auto"/>
                          </w:divBdr>
                          <w:divsChild>
                            <w:div w:id="343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ab.citytech.cuny.edu/livinglab/files/2015/02/TrainTheTrainersWorkshopWORKSHEET-v02.doc" TargetMode="External"/><Relationship Id="rId13" Type="http://schemas.openxmlformats.org/officeDocument/2006/relationships/hyperlink" Target="http://facultycommons.citytech.cuny.edu/" TargetMode="External"/><Relationship Id="rId3" Type="http://schemas.openxmlformats.org/officeDocument/2006/relationships/webSettings" Target="webSettings.xml"/><Relationship Id="rId7" Type="http://schemas.openxmlformats.org/officeDocument/2006/relationships/hyperlink" Target="https://openlab.citytech.cuny.edu/livinglab/files/2015/02/TrainTheTrainersWorkshopFACILITATORAGENDA-v06.docx" TargetMode="External"/><Relationship Id="rId12" Type="http://schemas.openxmlformats.org/officeDocument/2006/relationships/hyperlink" Target="https://openlab.citytech.cuny.edu/gene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penlab.citytech.cuny.edu/livinglab/files/2015/02/TrainTheTrainersWorkshopAGENDA-v05.doc" TargetMode="External"/><Relationship Id="rId11" Type="http://schemas.openxmlformats.org/officeDocument/2006/relationships/hyperlink" Target="http://www.nap.edu/catalog/9457/how-people-learn-bridging-research-and-practic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openlab.citytech.cuny.edu/livinglab/files/2015/02/TrainTheTrainersWorkshop_Design_Considerations_Chart-with-workshopcontributions-Spr15.docx" TargetMode="External"/><Relationship Id="rId4" Type="http://schemas.openxmlformats.org/officeDocument/2006/relationships/hyperlink" Target="https://openlab.citytech.cuny.edu/livinglab/files/2015/02/llab_logogreen.png" TargetMode="External"/><Relationship Id="rId9" Type="http://schemas.openxmlformats.org/officeDocument/2006/relationships/hyperlink" Target="https://openlab.citytech.cuny.edu/livinglab/files/2015/02/TrainTheTrainersWorkshop_Design_Considerations_Chart-v03.doc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Maria-Elena Bilello</dc:creator>
  <cp:keywords/>
  <dc:description/>
  <cp:lastModifiedBy>Maria-Elena Bilello</cp:lastModifiedBy>
  <cp:revision>2</cp:revision>
  <dcterms:created xsi:type="dcterms:W3CDTF">2015-04-13T15:23:00Z</dcterms:created>
  <dcterms:modified xsi:type="dcterms:W3CDTF">2015-04-13T15:48:00Z</dcterms:modified>
</cp:coreProperties>
</file>