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C4B3" w14:textId="77777777" w:rsidR="00C547E2" w:rsidRPr="002E090A" w:rsidRDefault="00C547E2" w:rsidP="00C547E2">
      <w:pPr>
        <w:jc w:val="center"/>
        <w:rPr>
          <w:rFonts w:asciiTheme="minorHAnsi" w:hAnsiTheme="minorHAnsi" w:cstheme="minorHAnsi"/>
          <w:b/>
          <w:szCs w:val="24"/>
        </w:rPr>
      </w:pPr>
      <w:bookmarkStart w:id="0" w:name="_Hlk527624569"/>
      <w:r w:rsidRPr="002E090A">
        <w:rPr>
          <w:rFonts w:asciiTheme="minorHAnsi" w:hAnsiTheme="minorHAnsi" w:cstheme="minorHAnsi"/>
          <w:b/>
          <w:szCs w:val="24"/>
        </w:rPr>
        <w:t>Proposed Revised Student Learning Outcomes for FYW</w:t>
      </w:r>
    </w:p>
    <w:p w14:paraId="5854E343" w14:textId="77777777" w:rsidR="00C547E2" w:rsidRDefault="00C547E2" w:rsidP="00C547E2">
      <w:pPr>
        <w:rPr>
          <w:rFonts w:asciiTheme="minorHAnsi" w:hAnsiTheme="minorHAnsi" w:cstheme="minorHAnsi"/>
          <w:szCs w:val="24"/>
        </w:rPr>
      </w:pPr>
    </w:p>
    <w:p w14:paraId="4B9F722E" w14:textId="77777777" w:rsidR="00C547E2" w:rsidRDefault="00C547E2" w:rsidP="00C547E2">
      <w:pPr>
        <w:rPr>
          <w:rFonts w:asciiTheme="minorHAnsi" w:hAnsiTheme="minorHAnsi" w:cstheme="minorHAnsi"/>
          <w:szCs w:val="24"/>
        </w:rPr>
      </w:pPr>
    </w:p>
    <w:p w14:paraId="3EEC3DAE" w14:textId="77777777" w:rsidR="00C547E2" w:rsidRDefault="00C547E2" w:rsidP="00C547E2">
      <w:pPr>
        <w:pStyle w:val="NormalWeb"/>
        <w:numPr>
          <w:ilvl w:val="0"/>
          <w:numId w:val="10"/>
        </w:numPr>
        <w:spacing w:before="0" w:beforeAutospacing="0" w:after="160" w:afterAutospacing="0"/>
        <w:ind w:left="360"/>
        <w:textAlignment w:val="baseline"/>
        <w:rPr>
          <w:rFonts w:ascii="Garamond" w:hAnsi="Garamond"/>
          <w:color w:val="000000"/>
        </w:rPr>
      </w:pPr>
      <w:r>
        <w:rPr>
          <w:rFonts w:ascii="Garamond" w:hAnsi="Garamond"/>
          <w:b/>
          <w:bCs/>
          <w:color w:val="333333"/>
        </w:rPr>
        <w:t>Read and listen critically and analytically in a variety of genres and rhetorical situations:</w:t>
      </w:r>
      <w:r>
        <w:rPr>
          <w:rFonts w:ascii="Garamond" w:hAnsi="Garamond"/>
          <w:color w:val="333333"/>
        </w:rPr>
        <w:t xml:space="preserve"> Identify and evaluate exigencies, purposes, claims, supporting evidence, and underlying assumptions in a variety of texts, genres, and media.</w:t>
      </w:r>
    </w:p>
    <w:p w14:paraId="0807166E" w14:textId="77777777" w:rsidR="00C547E2" w:rsidRDefault="00C547E2" w:rsidP="00C547E2">
      <w:pPr>
        <w:pStyle w:val="NormalWeb"/>
        <w:numPr>
          <w:ilvl w:val="0"/>
          <w:numId w:val="10"/>
        </w:numPr>
        <w:spacing w:before="0" w:beforeAutospacing="0" w:after="160" w:afterAutospacing="0"/>
        <w:ind w:left="360"/>
        <w:textAlignment w:val="baseline"/>
        <w:rPr>
          <w:rFonts w:ascii="Garamond" w:hAnsi="Garamond"/>
          <w:color w:val="000000"/>
        </w:rPr>
      </w:pPr>
      <w:r>
        <w:rPr>
          <w:rFonts w:ascii="Garamond" w:hAnsi="Garamond"/>
          <w:b/>
          <w:color w:val="000000"/>
        </w:rPr>
        <w:t>Adapt and compose in a variety of genres:</w:t>
      </w:r>
      <w:r>
        <w:rPr>
          <w:rFonts w:ascii="Garamond" w:hAnsi="Garamond"/>
          <w:color w:val="000000"/>
        </w:rPr>
        <w:t xml:space="preserve">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 </w:t>
      </w:r>
    </w:p>
    <w:p w14:paraId="12F421C0" w14:textId="77777777" w:rsidR="00C547E2" w:rsidRDefault="00C547E2" w:rsidP="00C547E2">
      <w:pPr>
        <w:pStyle w:val="NormalWeb"/>
        <w:numPr>
          <w:ilvl w:val="0"/>
          <w:numId w:val="10"/>
        </w:numPr>
        <w:spacing w:before="0" w:beforeAutospacing="0" w:after="160" w:afterAutospacing="0"/>
        <w:ind w:left="360"/>
        <w:textAlignment w:val="baseline"/>
        <w:rPr>
          <w:rFonts w:ascii="Garamond" w:hAnsi="Garamond"/>
          <w:color w:val="000000"/>
        </w:rPr>
      </w:pPr>
      <w:r>
        <w:rPr>
          <w:rFonts w:ascii="Garamond" w:hAnsi="Garamond"/>
          <w:b/>
          <w:color w:val="000000"/>
        </w:rPr>
        <w:t xml:space="preserve">Use research as a process of inquiry and engagement with multiple perspectives: </w:t>
      </w:r>
      <w:r>
        <w:rPr>
          <w:rFonts w:ascii="Garamond" w:hAnsi="Garamond"/>
          <w:color w:val="000000"/>
        </w:rPr>
        <w:t xml:space="preserve">Learn to </w:t>
      </w:r>
      <w:r>
        <w:rPr>
          <w:rFonts w:ascii="Garamond" w:hAnsi="Garamond"/>
          <w:color w:val="333333"/>
        </w:rPr>
        <w:t xml:space="preserve">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w:t>
      </w:r>
    </w:p>
    <w:p w14:paraId="3ABF8789" w14:textId="77777777" w:rsidR="00C547E2" w:rsidRDefault="00C547E2" w:rsidP="00C547E2">
      <w:pPr>
        <w:pStyle w:val="NormalWeb"/>
        <w:numPr>
          <w:ilvl w:val="0"/>
          <w:numId w:val="10"/>
        </w:numPr>
        <w:spacing w:before="0" w:beforeAutospacing="0" w:after="160" w:afterAutospacing="0"/>
        <w:ind w:left="360"/>
        <w:textAlignment w:val="baseline"/>
        <w:rPr>
          <w:rFonts w:ascii="Garamond" w:hAnsi="Garamond"/>
          <w:color w:val="000000"/>
        </w:rPr>
      </w:pPr>
      <w:r>
        <w:rPr>
          <w:rFonts w:ascii="Garamond" w:hAnsi="Garamond"/>
          <w:b/>
          <w:bCs/>
          <w:color w:val="000000"/>
        </w:rPr>
        <w:t xml:space="preserve">Compose as a process and use metacognition to revise prior assumptions concerning effective reading and composing strategies: </w:t>
      </w:r>
      <w:r>
        <w:rPr>
          <w:rFonts w:ascii="Garamond" w:hAnsi="Garamond"/>
          <w:bCs/>
          <w:color w:val="000000"/>
        </w:rPr>
        <w:t xml:space="preserve">Engage with reading and writing as a process including prewriting, writing, and continuous revision. Reflect upon the writing processes during and towards the end of the semester in order to transfer acquired knowledge about composing practices into new composing situations. </w:t>
      </w:r>
    </w:p>
    <w:p w14:paraId="60BF62DE" w14:textId="77777777" w:rsidR="00C547E2" w:rsidRDefault="00C547E2" w:rsidP="00C547E2">
      <w:pPr>
        <w:pStyle w:val="NormalWeb"/>
        <w:numPr>
          <w:ilvl w:val="0"/>
          <w:numId w:val="10"/>
        </w:numPr>
        <w:shd w:val="clear" w:color="auto" w:fill="FFFFFF"/>
        <w:spacing w:before="0" w:beforeAutospacing="0" w:after="0" w:afterAutospacing="0"/>
        <w:ind w:left="360"/>
        <w:textAlignment w:val="baseline"/>
        <w:rPr>
          <w:rFonts w:ascii="Garamond" w:hAnsi="Garamond"/>
        </w:rPr>
      </w:pPr>
      <w:r>
        <w:rPr>
          <w:rFonts w:ascii="Garamond" w:hAnsi="Garamond"/>
          <w:b/>
          <w:bCs/>
          <w:color w:val="000000"/>
        </w:rPr>
        <w:t xml:space="preserve">Understand the social and ethical responsibilities and consequences of writing:  </w:t>
      </w:r>
      <w:r>
        <w:rPr>
          <w:rFonts w:ascii="Garamond" w:hAnsi="Garamond"/>
          <w:bCs/>
          <w:color w:val="000000"/>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2940BF28" w14:textId="77777777" w:rsidR="00C547E2" w:rsidRDefault="00C547E2" w:rsidP="00C547E2">
      <w:pPr>
        <w:pStyle w:val="NormalWeb"/>
        <w:shd w:val="clear" w:color="auto" w:fill="FFFFFF"/>
        <w:spacing w:before="0" w:beforeAutospacing="0" w:after="0" w:afterAutospacing="0"/>
        <w:textAlignment w:val="baseline"/>
        <w:rPr>
          <w:rFonts w:ascii="Garamond" w:hAnsi="Garamond"/>
        </w:rPr>
      </w:pPr>
    </w:p>
    <w:p w14:paraId="33F23993" w14:textId="77777777" w:rsidR="00C547E2" w:rsidRDefault="00C547E2" w:rsidP="00C547E2">
      <w:pPr>
        <w:pStyle w:val="NormalWeb"/>
        <w:numPr>
          <w:ilvl w:val="0"/>
          <w:numId w:val="10"/>
        </w:numPr>
        <w:shd w:val="clear" w:color="auto" w:fill="FFFFFF"/>
        <w:spacing w:before="0" w:beforeAutospacing="0" w:after="0" w:afterAutospacing="0"/>
        <w:ind w:left="360"/>
        <w:textAlignment w:val="baseline"/>
        <w:rPr>
          <w:rFonts w:ascii="Garamond" w:hAnsi="Garamond"/>
        </w:rPr>
      </w:pPr>
      <w:r>
        <w:rPr>
          <w:rFonts w:ascii="Garamond" w:hAnsi="Garamond"/>
          <w:b/>
          <w:bCs/>
          <w:color w:val="000000"/>
        </w:rPr>
        <w:t xml:space="preserve">Compose in 21st Century Environments: </w:t>
      </w:r>
      <w:r>
        <w:rPr>
          <w:rFonts w:ascii="Garamond" w:hAnsi="Garamond"/>
          <w:bCs/>
          <w:color w:val="000000"/>
        </w:rPr>
        <w:t xml:space="preserve">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 </w:t>
      </w:r>
    </w:p>
    <w:p w14:paraId="0487CFD2" w14:textId="75238638" w:rsidR="00090D41" w:rsidRPr="001A427D" w:rsidRDefault="00090D41" w:rsidP="00090D41">
      <w:pPr>
        <w:rPr>
          <w:rFonts w:cs="Times New Roman"/>
        </w:rPr>
      </w:pPr>
    </w:p>
    <w:p w14:paraId="6EE118D6" w14:textId="4C82CBBE" w:rsidR="00B75DDA" w:rsidRPr="001A427D" w:rsidRDefault="00B75DDA" w:rsidP="00090D41">
      <w:pPr>
        <w:rPr>
          <w:rFonts w:cs="Times New Roman"/>
        </w:rPr>
      </w:pPr>
    </w:p>
    <w:p w14:paraId="50CF178E" w14:textId="10602A54" w:rsidR="00B75DDA" w:rsidRPr="001A427D" w:rsidRDefault="00B75DDA" w:rsidP="00090D41">
      <w:pPr>
        <w:rPr>
          <w:rFonts w:cs="Times New Roman"/>
        </w:rPr>
      </w:pPr>
      <w:r w:rsidRPr="001A427D">
        <w:rPr>
          <w:rFonts w:cs="Times New Roman"/>
        </w:rPr>
        <w:t xml:space="preserve">One proposed assignment sequence: </w:t>
      </w:r>
      <w:bookmarkStart w:id="1" w:name="_GoBack"/>
      <w:bookmarkEnd w:id="1"/>
    </w:p>
    <w:tbl>
      <w:tblPr>
        <w:tblStyle w:val="TableGrid"/>
        <w:tblpPr w:leftFromText="180" w:rightFromText="180" w:vertAnchor="page" w:horzAnchor="margin" w:tblpY="1221"/>
        <w:tblW w:w="9805" w:type="dxa"/>
        <w:tblLook w:val="04A0" w:firstRow="1" w:lastRow="0" w:firstColumn="1" w:lastColumn="0" w:noHBand="0" w:noVBand="1"/>
      </w:tblPr>
      <w:tblGrid>
        <w:gridCol w:w="1170"/>
        <w:gridCol w:w="7240"/>
        <w:gridCol w:w="1395"/>
      </w:tblGrid>
      <w:tr w:rsidR="00B75DDA" w:rsidRPr="001A427D" w14:paraId="503C671F" w14:textId="77777777" w:rsidTr="00B75DDA">
        <w:tc>
          <w:tcPr>
            <w:tcW w:w="1170" w:type="dxa"/>
          </w:tcPr>
          <w:p w14:paraId="47F34927" w14:textId="77777777" w:rsidR="00B75DDA" w:rsidRPr="001A427D" w:rsidRDefault="00B75DDA" w:rsidP="00B75DDA">
            <w:pPr>
              <w:rPr>
                <w:rFonts w:cs="Times New Roman"/>
              </w:rPr>
            </w:pPr>
            <w:r w:rsidRPr="001A427D">
              <w:rPr>
                <w:rFonts w:cs="Times New Roman"/>
              </w:rPr>
              <w:lastRenderedPageBreak/>
              <w:t xml:space="preserve">Project </w:t>
            </w:r>
          </w:p>
        </w:tc>
        <w:tc>
          <w:tcPr>
            <w:tcW w:w="7240" w:type="dxa"/>
          </w:tcPr>
          <w:p w14:paraId="5B4A40D2" w14:textId="77777777" w:rsidR="00B75DDA" w:rsidRPr="001A427D" w:rsidRDefault="00B75DDA" w:rsidP="00B75DDA">
            <w:pPr>
              <w:jc w:val="center"/>
              <w:rPr>
                <w:rFonts w:cs="Times New Roman"/>
              </w:rPr>
            </w:pPr>
            <w:r w:rsidRPr="001A427D">
              <w:rPr>
                <w:rFonts w:cs="Times New Roman"/>
              </w:rPr>
              <w:t>Name of Project</w:t>
            </w:r>
          </w:p>
        </w:tc>
        <w:tc>
          <w:tcPr>
            <w:tcW w:w="1395" w:type="dxa"/>
          </w:tcPr>
          <w:p w14:paraId="4AA5A875" w14:textId="77777777" w:rsidR="00B75DDA" w:rsidRPr="001A427D" w:rsidRDefault="00B75DDA" w:rsidP="00B75DDA">
            <w:pPr>
              <w:rPr>
                <w:rFonts w:cs="Times New Roman"/>
              </w:rPr>
            </w:pPr>
            <w:r w:rsidRPr="001A427D">
              <w:rPr>
                <w:rFonts w:cs="Times New Roman"/>
              </w:rPr>
              <w:t>Due by end of Week</w:t>
            </w:r>
          </w:p>
        </w:tc>
      </w:tr>
      <w:tr w:rsidR="00B75DDA" w:rsidRPr="001A427D" w14:paraId="7A08AB5D" w14:textId="77777777" w:rsidTr="00B75DDA">
        <w:trPr>
          <w:trHeight w:val="602"/>
        </w:trPr>
        <w:tc>
          <w:tcPr>
            <w:tcW w:w="1170" w:type="dxa"/>
          </w:tcPr>
          <w:p w14:paraId="384CE934" w14:textId="77777777" w:rsidR="00B75DDA" w:rsidRPr="001A427D" w:rsidRDefault="00B75DDA" w:rsidP="00B75DDA">
            <w:pPr>
              <w:rPr>
                <w:rFonts w:cs="Times New Roman"/>
              </w:rPr>
            </w:pPr>
            <w:r w:rsidRPr="001A427D">
              <w:rPr>
                <w:rFonts w:cs="Times New Roman"/>
              </w:rPr>
              <w:t>1</w:t>
            </w:r>
          </w:p>
        </w:tc>
        <w:tc>
          <w:tcPr>
            <w:tcW w:w="7240" w:type="dxa"/>
          </w:tcPr>
          <w:p w14:paraId="799B3AAA" w14:textId="77777777" w:rsidR="00B75DDA" w:rsidRPr="001A427D" w:rsidRDefault="00B75DDA" w:rsidP="00B75DDA">
            <w:pPr>
              <w:rPr>
                <w:rFonts w:cs="Times New Roman"/>
              </w:rPr>
            </w:pPr>
            <w:r w:rsidRPr="001A427D">
              <w:rPr>
                <w:rFonts w:cs="Times New Roman"/>
              </w:rPr>
              <w:t xml:space="preserve">Collaborative Personal Literacy Assignment </w:t>
            </w:r>
          </w:p>
          <w:p w14:paraId="53269699" w14:textId="77777777" w:rsidR="00B75DDA" w:rsidRPr="001A427D" w:rsidRDefault="00B75DDA" w:rsidP="00B75DDA">
            <w:pPr>
              <w:rPr>
                <w:rFonts w:cs="Times New Roman"/>
              </w:rPr>
            </w:pPr>
          </w:p>
        </w:tc>
        <w:tc>
          <w:tcPr>
            <w:tcW w:w="1395" w:type="dxa"/>
          </w:tcPr>
          <w:p w14:paraId="0A6C5BC1" w14:textId="77777777" w:rsidR="00B75DDA" w:rsidRPr="001A427D" w:rsidRDefault="00B75DDA" w:rsidP="00B75DDA">
            <w:pPr>
              <w:rPr>
                <w:rFonts w:cs="Times New Roman"/>
              </w:rPr>
            </w:pPr>
            <w:r w:rsidRPr="001A427D">
              <w:rPr>
                <w:rFonts w:cs="Times New Roman"/>
              </w:rPr>
              <w:t>2</w:t>
            </w:r>
          </w:p>
        </w:tc>
      </w:tr>
      <w:tr w:rsidR="00B75DDA" w:rsidRPr="001A427D" w14:paraId="2011B9E6" w14:textId="77777777" w:rsidTr="00B75DDA">
        <w:tc>
          <w:tcPr>
            <w:tcW w:w="1170" w:type="dxa"/>
          </w:tcPr>
          <w:p w14:paraId="39A30E17" w14:textId="77777777" w:rsidR="00B75DDA" w:rsidRPr="001A427D" w:rsidRDefault="00B75DDA" w:rsidP="00B75DDA">
            <w:pPr>
              <w:rPr>
                <w:rFonts w:cs="Times New Roman"/>
              </w:rPr>
            </w:pPr>
            <w:r w:rsidRPr="001A427D">
              <w:rPr>
                <w:rFonts w:cs="Times New Roman"/>
              </w:rPr>
              <w:t>2</w:t>
            </w:r>
          </w:p>
        </w:tc>
        <w:tc>
          <w:tcPr>
            <w:tcW w:w="7240" w:type="dxa"/>
          </w:tcPr>
          <w:p w14:paraId="3F605336" w14:textId="77777777" w:rsidR="00B75DDA" w:rsidRPr="001A427D" w:rsidRDefault="00B75DDA" w:rsidP="00B75DDA">
            <w:pPr>
              <w:rPr>
                <w:rFonts w:cs="Times New Roman"/>
              </w:rPr>
            </w:pPr>
            <w:r w:rsidRPr="001A427D">
              <w:rPr>
                <w:rFonts w:cs="Times New Roman"/>
              </w:rPr>
              <w:t>Rhetorical/ethnographical analysis of an advocacy discourse community with field research and interviews.</w:t>
            </w:r>
          </w:p>
          <w:p w14:paraId="6D6503B3" w14:textId="77777777" w:rsidR="00B75DDA" w:rsidRPr="001A427D" w:rsidRDefault="00B75DDA" w:rsidP="00B75DDA">
            <w:pPr>
              <w:rPr>
                <w:rFonts w:cs="Times New Roman"/>
              </w:rPr>
            </w:pPr>
            <w:r w:rsidRPr="001A427D">
              <w:rPr>
                <w:rFonts w:cs="Times New Roman"/>
              </w:rPr>
              <w:t xml:space="preserve">     --Includes audio captures and personal responses to the sonic/felt environment</w:t>
            </w:r>
          </w:p>
          <w:p w14:paraId="574BD5FF" w14:textId="77777777" w:rsidR="00B75DDA" w:rsidRPr="001A427D" w:rsidRDefault="00B75DDA" w:rsidP="00B75DDA">
            <w:pPr>
              <w:rPr>
                <w:rFonts w:cs="Times New Roman"/>
              </w:rPr>
            </w:pPr>
          </w:p>
          <w:p w14:paraId="135D8E1A" w14:textId="77777777" w:rsidR="00B75DDA" w:rsidRPr="001A427D" w:rsidRDefault="00B75DDA" w:rsidP="00B75DDA">
            <w:pPr>
              <w:rPr>
                <w:rFonts w:cs="Times New Roman"/>
              </w:rPr>
            </w:pPr>
          </w:p>
        </w:tc>
        <w:tc>
          <w:tcPr>
            <w:tcW w:w="1395" w:type="dxa"/>
          </w:tcPr>
          <w:p w14:paraId="07213598" w14:textId="77777777" w:rsidR="00B75DDA" w:rsidRPr="001A427D" w:rsidRDefault="00B75DDA" w:rsidP="00B75DDA">
            <w:pPr>
              <w:rPr>
                <w:rFonts w:cs="Times New Roman"/>
              </w:rPr>
            </w:pPr>
            <w:r w:rsidRPr="001A427D">
              <w:rPr>
                <w:rFonts w:cs="Times New Roman"/>
              </w:rPr>
              <w:t>6</w:t>
            </w:r>
          </w:p>
        </w:tc>
      </w:tr>
      <w:tr w:rsidR="00B75DDA" w:rsidRPr="001A427D" w14:paraId="0796F8ED" w14:textId="77777777" w:rsidTr="00B75DDA">
        <w:tc>
          <w:tcPr>
            <w:tcW w:w="1170" w:type="dxa"/>
          </w:tcPr>
          <w:p w14:paraId="63157070" w14:textId="77777777" w:rsidR="00B75DDA" w:rsidRPr="001A427D" w:rsidRDefault="00B75DDA" w:rsidP="00B75DDA">
            <w:pPr>
              <w:rPr>
                <w:rFonts w:cs="Times New Roman"/>
              </w:rPr>
            </w:pPr>
            <w:r w:rsidRPr="001A427D">
              <w:rPr>
                <w:rFonts w:cs="Times New Roman"/>
              </w:rPr>
              <w:t>3</w:t>
            </w:r>
          </w:p>
        </w:tc>
        <w:tc>
          <w:tcPr>
            <w:tcW w:w="7240" w:type="dxa"/>
          </w:tcPr>
          <w:p w14:paraId="48876841" w14:textId="6E978049" w:rsidR="00B75DDA" w:rsidRPr="001A427D" w:rsidRDefault="00B75DDA" w:rsidP="00B75DDA">
            <w:pPr>
              <w:rPr>
                <w:rFonts w:cs="Times New Roman"/>
              </w:rPr>
            </w:pPr>
            <w:r w:rsidRPr="001A427D">
              <w:rPr>
                <w:rFonts w:cs="Times New Roman"/>
              </w:rPr>
              <w:t>Position Paper with Rhetorical Analysis</w:t>
            </w:r>
          </w:p>
          <w:p w14:paraId="0DB77137" w14:textId="1459C20F" w:rsidR="00B75DDA" w:rsidRPr="001A427D" w:rsidRDefault="00B75DDA" w:rsidP="00B75DDA">
            <w:pPr>
              <w:rPr>
                <w:rFonts w:cs="Times New Roman"/>
              </w:rPr>
            </w:pPr>
          </w:p>
          <w:p w14:paraId="517EF829" w14:textId="77777777" w:rsidR="00B75DDA" w:rsidRPr="001A427D" w:rsidRDefault="00B75DDA" w:rsidP="00B75DDA">
            <w:pPr>
              <w:rPr>
                <w:rFonts w:cs="Times New Roman"/>
              </w:rPr>
            </w:pPr>
          </w:p>
        </w:tc>
        <w:tc>
          <w:tcPr>
            <w:tcW w:w="1395" w:type="dxa"/>
          </w:tcPr>
          <w:p w14:paraId="0F032B0B" w14:textId="77777777" w:rsidR="00B75DDA" w:rsidRPr="001A427D" w:rsidRDefault="00B75DDA" w:rsidP="00B75DDA">
            <w:pPr>
              <w:rPr>
                <w:rFonts w:cs="Times New Roman"/>
              </w:rPr>
            </w:pPr>
            <w:r w:rsidRPr="001A427D">
              <w:rPr>
                <w:rFonts w:cs="Times New Roman"/>
              </w:rPr>
              <w:t>10</w:t>
            </w:r>
          </w:p>
        </w:tc>
      </w:tr>
      <w:tr w:rsidR="00B75DDA" w:rsidRPr="001A427D" w14:paraId="78CFFCDB" w14:textId="77777777" w:rsidTr="00B75DDA">
        <w:tc>
          <w:tcPr>
            <w:tcW w:w="1170" w:type="dxa"/>
          </w:tcPr>
          <w:p w14:paraId="45D84ADA" w14:textId="77777777" w:rsidR="00B75DDA" w:rsidRPr="001A427D" w:rsidRDefault="00B75DDA" w:rsidP="00B75DDA">
            <w:pPr>
              <w:rPr>
                <w:rFonts w:cs="Times New Roman"/>
              </w:rPr>
            </w:pPr>
            <w:r w:rsidRPr="001A427D">
              <w:rPr>
                <w:rFonts w:cs="Times New Roman"/>
              </w:rPr>
              <w:t>4</w:t>
            </w:r>
          </w:p>
        </w:tc>
        <w:tc>
          <w:tcPr>
            <w:tcW w:w="7240" w:type="dxa"/>
          </w:tcPr>
          <w:p w14:paraId="15BC743A" w14:textId="77777777" w:rsidR="00B75DDA" w:rsidRPr="001A427D" w:rsidRDefault="00B75DDA" w:rsidP="00B75DDA">
            <w:pPr>
              <w:rPr>
                <w:rFonts w:cs="Times New Roman"/>
              </w:rPr>
            </w:pPr>
            <w:r w:rsidRPr="001A427D">
              <w:rPr>
                <w:rFonts w:cs="Times New Roman"/>
              </w:rPr>
              <w:t>Multimodal project (further develop campaign or repurpose argument with a different audience)</w:t>
            </w:r>
          </w:p>
          <w:p w14:paraId="79C37F2D" w14:textId="527679F6" w:rsidR="00B75DDA" w:rsidRPr="001A427D" w:rsidRDefault="00B75DDA" w:rsidP="00B75DDA">
            <w:pPr>
              <w:rPr>
                <w:rFonts w:cs="Times New Roman"/>
              </w:rPr>
            </w:pPr>
            <w:r w:rsidRPr="001A427D">
              <w:rPr>
                <w:rFonts w:cs="Times New Roman"/>
              </w:rPr>
              <w:t xml:space="preserve">     </w:t>
            </w:r>
          </w:p>
          <w:p w14:paraId="5BF2E4B2" w14:textId="77777777" w:rsidR="00B75DDA" w:rsidRPr="001A427D" w:rsidRDefault="00B75DDA" w:rsidP="00B75DDA">
            <w:pPr>
              <w:rPr>
                <w:rFonts w:cs="Times New Roman"/>
              </w:rPr>
            </w:pPr>
            <w:r w:rsidRPr="001A427D">
              <w:rPr>
                <w:rFonts w:cs="Times New Roman"/>
              </w:rPr>
              <w:t xml:space="preserve">     </w:t>
            </w:r>
          </w:p>
        </w:tc>
        <w:tc>
          <w:tcPr>
            <w:tcW w:w="1395" w:type="dxa"/>
          </w:tcPr>
          <w:p w14:paraId="103C6A8A" w14:textId="77777777" w:rsidR="00B75DDA" w:rsidRPr="001A427D" w:rsidRDefault="00B75DDA" w:rsidP="00B75DDA">
            <w:pPr>
              <w:rPr>
                <w:rFonts w:cs="Times New Roman"/>
              </w:rPr>
            </w:pPr>
            <w:r w:rsidRPr="001A427D">
              <w:rPr>
                <w:rFonts w:cs="Times New Roman"/>
              </w:rPr>
              <w:t>14</w:t>
            </w:r>
          </w:p>
        </w:tc>
      </w:tr>
      <w:tr w:rsidR="00B75DDA" w:rsidRPr="001A427D" w14:paraId="02EAA01B" w14:textId="77777777" w:rsidTr="00B75DDA">
        <w:tc>
          <w:tcPr>
            <w:tcW w:w="1170" w:type="dxa"/>
          </w:tcPr>
          <w:p w14:paraId="5E245DC2" w14:textId="77777777" w:rsidR="00B75DDA" w:rsidRPr="001A427D" w:rsidRDefault="00B75DDA" w:rsidP="00B75DDA">
            <w:pPr>
              <w:rPr>
                <w:rFonts w:cs="Times New Roman"/>
              </w:rPr>
            </w:pPr>
            <w:r w:rsidRPr="001A427D">
              <w:rPr>
                <w:rFonts w:cs="Times New Roman"/>
              </w:rPr>
              <w:t>5</w:t>
            </w:r>
          </w:p>
        </w:tc>
        <w:tc>
          <w:tcPr>
            <w:tcW w:w="7240" w:type="dxa"/>
          </w:tcPr>
          <w:p w14:paraId="342DD396" w14:textId="77777777" w:rsidR="00B75DDA" w:rsidRPr="001A427D" w:rsidRDefault="00B75DDA" w:rsidP="00B75DDA">
            <w:pPr>
              <w:rPr>
                <w:rFonts w:cs="Times New Roman"/>
              </w:rPr>
            </w:pPr>
            <w:r w:rsidRPr="001A427D">
              <w:rPr>
                <w:rFonts w:cs="Times New Roman"/>
              </w:rPr>
              <w:t>Final Portfolios and Final Symposia</w:t>
            </w:r>
          </w:p>
          <w:p w14:paraId="5D1B01D9" w14:textId="77777777" w:rsidR="00B75DDA" w:rsidRPr="001A427D" w:rsidRDefault="00B75DDA" w:rsidP="00B75DDA">
            <w:pPr>
              <w:rPr>
                <w:rFonts w:cs="Times New Roman"/>
              </w:rPr>
            </w:pPr>
            <w:r w:rsidRPr="001A427D">
              <w:rPr>
                <w:rFonts w:cs="Times New Roman"/>
              </w:rPr>
              <w:t xml:space="preserve">      ---semester long reflection</w:t>
            </w:r>
          </w:p>
        </w:tc>
        <w:tc>
          <w:tcPr>
            <w:tcW w:w="1395" w:type="dxa"/>
          </w:tcPr>
          <w:p w14:paraId="7022D24C" w14:textId="77777777" w:rsidR="00B75DDA" w:rsidRPr="001A427D" w:rsidRDefault="00B75DDA" w:rsidP="00B75DDA">
            <w:pPr>
              <w:rPr>
                <w:rFonts w:cs="Times New Roman"/>
              </w:rPr>
            </w:pPr>
            <w:r w:rsidRPr="001A427D">
              <w:rPr>
                <w:rFonts w:cs="Times New Roman"/>
              </w:rPr>
              <w:t>16</w:t>
            </w:r>
          </w:p>
        </w:tc>
      </w:tr>
    </w:tbl>
    <w:p w14:paraId="08A1A2B8" w14:textId="3BEC105C" w:rsidR="00B75DDA" w:rsidRPr="001A427D" w:rsidRDefault="00B75DDA" w:rsidP="00B75DDA">
      <w:pPr>
        <w:rPr>
          <w:rFonts w:cs="Times New Roman"/>
        </w:rPr>
      </w:pPr>
    </w:p>
    <w:p w14:paraId="5CEA04EE" w14:textId="77777777" w:rsidR="00C547E2" w:rsidRDefault="00C547E2" w:rsidP="00B75DDA">
      <w:pPr>
        <w:rPr>
          <w:rFonts w:cs="Times New Roman"/>
        </w:rPr>
      </w:pPr>
    </w:p>
    <w:p w14:paraId="6648F964" w14:textId="77777777" w:rsidR="00C547E2" w:rsidRDefault="00C547E2" w:rsidP="00B75DDA">
      <w:pPr>
        <w:rPr>
          <w:rFonts w:cs="Times New Roman"/>
        </w:rPr>
      </w:pPr>
    </w:p>
    <w:p w14:paraId="0D1FD645" w14:textId="77777777" w:rsidR="00C547E2" w:rsidRDefault="00C547E2" w:rsidP="00B75DDA">
      <w:pPr>
        <w:rPr>
          <w:rFonts w:cs="Times New Roman"/>
        </w:rPr>
      </w:pPr>
    </w:p>
    <w:p w14:paraId="56F66E4C" w14:textId="77777777" w:rsidR="00C547E2" w:rsidRDefault="00C547E2" w:rsidP="00B75DDA">
      <w:pPr>
        <w:rPr>
          <w:rFonts w:cs="Times New Roman"/>
        </w:rPr>
      </w:pPr>
    </w:p>
    <w:p w14:paraId="55396E1C" w14:textId="77777777" w:rsidR="00C547E2" w:rsidRDefault="00C547E2" w:rsidP="00B75DDA">
      <w:pPr>
        <w:rPr>
          <w:rFonts w:cs="Times New Roman"/>
        </w:rPr>
      </w:pPr>
    </w:p>
    <w:p w14:paraId="5E7E6EC8" w14:textId="77777777" w:rsidR="00C547E2" w:rsidRDefault="00C547E2" w:rsidP="00B75DDA">
      <w:pPr>
        <w:rPr>
          <w:rFonts w:cs="Times New Roman"/>
        </w:rPr>
      </w:pPr>
    </w:p>
    <w:p w14:paraId="701AD8E2" w14:textId="77777777" w:rsidR="00C547E2" w:rsidRDefault="00C547E2" w:rsidP="00B75DDA">
      <w:pPr>
        <w:rPr>
          <w:rFonts w:cs="Times New Roman"/>
        </w:rPr>
      </w:pPr>
    </w:p>
    <w:p w14:paraId="6C2EFC38" w14:textId="77777777" w:rsidR="00C547E2" w:rsidRDefault="00C547E2" w:rsidP="00B75DDA">
      <w:pPr>
        <w:rPr>
          <w:rFonts w:cs="Times New Roman"/>
        </w:rPr>
      </w:pPr>
    </w:p>
    <w:p w14:paraId="41BDB30E" w14:textId="77777777" w:rsidR="00C547E2" w:rsidRDefault="00C547E2" w:rsidP="00B75DDA">
      <w:pPr>
        <w:rPr>
          <w:rFonts w:cs="Times New Roman"/>
        </w:rPr>
      </w:pPr>
    </w:p>
    <w:p w14:paraId="5F43EF09" w14:textId="77777777" w:rsidR="00C547E2" w:rsidRDefault="00C547E2" w:rsidP="00B75DDA">
      <w:pPr>
        <w:rPr>
          <w:rFonts w:cs="Times New Roman"/>
        </w:rPr>
      </w:pPr>
    </w:p>
    <w:p w14:paraId="52A5EE89" w14:textId="77777777" w:rsidR="00C547E2" w:rsidRDefault="00C547E2" w:rsidP="00B75DDA">
      <w:pPr>
        <w:rPr>
          <w:rFonts w:cs="Times New Roman"/>
        </w:rPr>
      </w:pPr>
    </w:p>
    <w:p w14:paraId="6576C180" w14:textId="77777777" w:rsidR="00C547E2" w:rsidRDefault="00C547E2" w:rsidP="00B75DDA">
      <w:pPr>
        <w:rPr>
          <w:rFonts w:cs="Times New Roman"/>
        </w:rPr>
      </w:pPr>
    </w:p>
    <w:p w14:paraId="0FF18663" w14:textId="77777777" w:rsidR="00C547E2" w:rsidRDefault="00C547E2" w:rsidP="00B75DDA">
      <w:pPr>
        <w:rPr>
          <w:rFonts w:cs="Times New Roman"/>
        </w:rPr>
      </w:pPr>
    </w:p>
    <w:p w14:paraId="5BF8B9B5" w14:textId="77777777" w:rsidR="00C547E2" w:rsidRDefault="00C547E2" w:rsidP="00B75DDA">
      <w:pPr>
        <w:rPr>
          <w:rFonts w:cs="Times New Roman"/>
        </w:rPr>
      </w:pPr>
    </w:p>
    <w:p w14:paraId="49B8FE22" w14:textId="77777777" w:rsidR="00C547E2" w:rsidRDefault="00C547E2" w:rsidP="00B75DDA">
      <w:pPr>
        <w:rPr>
          <w:rFonts w:cs="Times New Roman"/>
        </w:rPr>
      </w:pPr>
    </w:p>
    <w:p w14:paraId="151EE0E3" w14:textId="77777777" w:rsidR="00C547E2" w:rsidRDefault="00C547E2" w:rsidP="00B75DDA">
      <w:pPr>
        <w:rPr>
          <w:rFonts w:cs="Times New Roman"/>
        </w:rPr>
      </w:pPr>
    </w:p>
    <w:p w14:paraId="6A3C7701" w14:textId="58FA4B12" w:rsidR="00B75DDA" w:rsidRPr="001A427D" w:rsidRDefault="00B75DDA" w:rsidP="00B75DDA">
      <w:pPr>
        <w:rPr>
          <w:rFonts w:cs="Times New Roman"/>
        </w:rPr>
      </w:pPr>
      <w:r w:rsidRPr="001A427D">
        <w:rPr>
          <w:rFonts w:cs="Times New Roman"/>
        </w:rPr>
        <w:lastRenderedPageBreak/>
        <w:t>Notes for Projects:</w:t>
      </w:r>
    </w:p>
    <w:p w14:paraId="755A5536" w14:textId="2583E604" w:rsidR="00B75DDA" w:rsidRPr="001A427D" w:rsidRDefault="00B75DDA" w:rsidP="00B75DDA">
      <w:pPr>
        <w:rPr>
          <w:rFonts w:cs="Times New Roman"/>
        </w:rPr>
      </w:pPr>
    </w:p>
    <w:p w14:paraId="501BE26C" w14:textId="5479D52A" w:rsidR="00B75DDA" w:rsidRPr="001A427D" w:rsidRDefault="00B75DDA" w:rsidP="00B75DDA">
      <w:pPr>
        <w:pStyle w:val="ListParagraph"/>
        <w:numPr>
          <w:ilvl w:val="0"/>
          <w:numId w:val="8"/>
        </w:numPr>
        <w:rPr>
          <w:rFonts w:cs="Times New Roman"/>
        </w:rPr>
      </w:pPr>
      <w:r w:rsidRPr="001A427D">
        <w:rPr>
          <w:rFonts w:cs="Times New Roman"/>
        </w:rPr>
        <w:t>Collaborative Literacy Project</w:t>
      </w:r>
    </w:p>
    <w:p w14:paraId="60F39FF2" w14:textId="707EBC3F" w:rsidR="00B75DDA" w:rsidRPr="001A427D" w:rsidRDefault="00B75DDA" w:rsidP="00B75DDA">
      <w:pPr>
        <w:pStyle w:val="ListParagraph"/>
        <w:numPr>
          <w:ilvl w:val="1"/>
          <w:numId w:val="8"/>
        </w:numPr>
        <w:rPr>
          <w:rFonts w:cs="Times New Roman"/>
        </w:rPr>
      </w:pPr>
      <w:r w:rsidRPr="001A427D">
        <w:rPr>
          <w:rFonts w:cs="Times New Roman"/>
        </w:rPr>
        <w:t xml:space="preserve">Students reflect on their own practices of writing and reading. They discuss this in small groups. Students write a collaborative paper where they explain what they have in common, where they differentiate, and </w:t>
      </w:r>
      <w:r w:rsidR="00617A58" w:rsidRPr="001A427D">
        <w:rPr>
          <w:rFonts w:cs="Times New Roman"/>
        </w:rPr>
        <w:t xml:space="preserve">draft a speculative plan for what they feel is their theory of best practices for tackling writing assignments. </w:t>
      </w:r>
    </w:p>
    <w:p w14:paraId="50944F58" w14:textId="77777777" w:rsidR="00617A58" w:rsidRPr="001A427D" w:rsidRDefault="00617A58" w:rsidP="00617A58">
      <w:pPr>
        <w:pStyle w:val="ListParagraph"/>
        <w:numPr>
          <w:ilvl w:val="0"/>
          <w:numId w:val="8"/>
        </w:numPr>
        <w:rPr>
          <w:rFonts w:cs="Times New Roman"/>
        </w:rPr>
      </w:pPr>
      <w:r w:rsidRPr="001A427D">
        <w:rPr>
          <w:rFonts w:cs="Times New Roman"/>
        </w:rPr>
        <w:t xml:space="preserve">Rhetorical/ethnographical analysis of a discourse community with field research </w:t>
      </w:r>
      <w:proofErr w:type="gramStart"/>
      <w:r w:rsidRPr="001A427D">
        <w:rPr>
          <w:rFonts w:cs="Times New Roman"/>
        </w:rPr>
        <w:t>and  interview</w:t>
      </w:r>
      <w:proofErr w:type="gramEnd"/>
      <w:r w:rsidRPr="001A427D">
        <w:rPr>
          <w:rFonts w:cs="Times New Roman"/>
        </w:rPr>
        <w:t>.</w:t>
      </w:r>
    </w:p>
    <w:p w14:paraId="64B4CC17" w14:textId="77777777" w:rsidR="00617A58" w:rsidRPr="001A427D" w:rsidRDefault="00617A58" w:rsidP="00617A58">
      <w:pPr>
        <w:pStyle w:val="ListParagraph"/>
        <w:numPr>
          <w:ilvl w:val="1"/>
          <w:numId w:val="8"/>
        </w:numPr>
        <w:rPr>
          <w:rFonts w:cs="Times New Roman"/>
        </w:rPr>
      </w:pPr>
      <w:r w:rsidRPr="001A427D">
        <w:rPr>
          <w:rFonts w:cs="Times New Roman"/>
        </w:rPr>
        <w:t>Requires field research, interviews, other items related to instructor.</w:t>
      </w:r>
    </w:p>
    <w:p w14:paraId="0706887E" w14:textId="19785219" w:rsidR="00617A58" w:rsidRPr="001A427D" w:rsidRDefault="00617A58" w:rsidP="00617A58">
      <w:pPr>
        <w:pStyle w:val="ListParagraph"/>
        <w:numPr>
          <w:ilvl w:val="1"/>
          <w:numId w:val="8"/>
        </w:numPr>
        <w:rPr>
          <w:rFonts w:cs="Times New Roman"/>
        </w:rPr>
      </w:pPr>
      <w:r w:rsidRPr="001A427D">
        <w:rPr>
          <w:rFonts w:cs="Times New Roman"/>
        </w:rPr>
        <w:t>Integrates research of establishing what a discourse community is. (Swales, Gee, etc.)</w:t>
      </w:r>
    </w:p>
    <w:p w14:paraId="20AF0019" w14:textId="77777777" w:rsidR="00617A58" w:rsidRPr="001A427D" w:rsidRDefault="00617A58" w:rsidP="00617A58">
      <w:pPr>
        <w:pStyle w:val="ListParagraph"/>
        <w:numPr>
          <w:ilvl w:val="1"/>
          <w:numId w:val="8"/>
        </w:numPr>
        <w:rPr>
          <w:rFonts w:cs="Times New Roman"/>
        </w:rPr>
      </w:pPr>
      <w:r w:rsidRPr="001A427D">
        <w:rPr>
          <w:rFonts w:cs="Times New Roman"/>
        </w:rPr>
        <w:t>Potential topics</w:t>
      </w:r>
    </w:p>
    <w:p w14:paraId="05BF8EC1" w14:textId="77777777" w:rsidR="00617A58" w:rsidRPr="001A427D" w:rsidRDefault="00617A58" w:rsidP="00617A58">
      <w:pPr>
        <w:pStyle w:val="ListParagraph"/>
        <w:numPr>
          <w:ilvl w:val="2"/>
          <w:numId w:val="8"/>
        </w:numPr>
        <w:spacing w:after="0" w:line="240" w:lineRule="auto"/>
        <w:rPr>
          <w:rFonts w:cs="Times New Roman"/>
          <w:sz w:val="22"/>
        </w:rPr>
      </w:pPr>
      <w:r w:rsidRPr="001A427D">
        <w:rPr>
          <w:rFonts w:cs="Times New Roman"/>
          <w:sz w:val="22"/>
        </w:rPr>
        <w:t>Major DC</w:t>
      </w:r>
    </w:p>
    <w:p w14:paraId="20D43751" w14:textId="77777777" w:rsidR="00617A58" w:rsidRPr="001A427D" w:rsidRDefault="00617A58" w:rsidP="00617A58">
      <w:pPr>
        <w:pStyle w:val="ListParagraph"/>
        <w:numPr>
          <w:ilvl w:val="2"/>
          <w:numId w:val="8"/>
        </w:numPr>
        <w:spacing w:after="0" w:line="240" w:lineRule="auto"/>
        <w:rPr>
          <w:rFonts w:cs="Times New Roman"/>
          <w:sz w:val="22"/>
        </w:rPr>
      </w:pPr>
      <w:r w:rsidRPr="001A427D">
        <w:rPr>
          <w:rFonts w:cs="Times New Roman"/>
          <w:sz w:val="22"/>
        </w:rPr>
        <w:t>Career DC</w:t>
      </w:r>
    </w:p>
    <w:p w14:paraId="085AD08E" w14:textId="77777777" w:rsidR="00617A58" w:rsidRPr="001A427D" w:rsidRDefault="00617A58" w:rsidP="00617A58">
      <w:pPr>
        <w:pStyle w:val="ListParagraph"/>
        <w:numPr>
          <w:ilvl w:val="2"/>
          <w:numId w:val="8"/>
        </w:numPr>
        <w:spacing w:after="0" w:line="240" w:lineRule="auto"/>
        <w:rPr>
          <w:rFonts w:cs="Times New Roman"/>
          <w:sz w:val="22"/>
        </w:rPr>
      </w:pPr>
      <w:r w:rsidRPr="001A427D">
        <w:rPr>
          <w:rFonts w:cs="Times New Roman"/>
          <w:sz w:val="22"/>
        </w:rPr>
        <w:t>College/University DC (library, facilities, student support, cafeteria, recreation, etc.)</w:t>
      </w:r>
    </w:p>
    <w:p w14:paraId="1EFF9EEC" w14:textId="77777777" w:rsidR="00617A58" w:rsidRPr="001A427D" w:rsidRDefault="00617A58" w:rsidP="00617A58">
      <w:pPr>
        <w:pStyle w:val="ListParagraph"/>
        <w:numPr>
          <w:ilvl w:val="2"/>
          <w:numId w:val="8"/>
        </w:numPr>
        <w:spacing w:after="0" w:line="240" w:lineRule="auto"/>
        <w:rPr>
          <w:rFonts w:cs="Times New Roman"/>
          <w:sz w:val="22"/>
        </w:rPr>
      </w:pPr>
      <w:r w:rsidRPr="001A427D">
        <w:rPr>
          <w:rFonts w:cs="Times New Roman"/>
          <w:sz w:val="22"/>
        </w:rPr>
        <w:t>Subcultures—boundary discourses (African American English, Rastafarian, indigenous, Latinx, Punk, Bikers, Weed, etc.)</w:t>
      </w:r>
    </w:p>
    <w:p w14:paraId="5B02E657" w14:textId="1049AA8C" w:rsidR="00A5458C" w:rsidRPr="001A427D" w:rsidRDefault="00653BDE" w:rsidP="00617A58">
      <w:pPr>
        <w:pStyle w:val="ListParagraph"/>
        <w:numPr>
          <w:ilvl w:val="0"/>
          <w:numId w:val="8"/>
        </w:numPr>
        <w:rPr>
          <w:rFonts w:cs="Times New Roman"/>
        </w:rPr>
      </w:pPr>
      <w:r w:rsidRPr="001A427D">
        <w:rPr>
          <w:rFonts w:cs="Times New Roman"/>
        </w:rPr>
        <w:t xml:space="preserve">Rhetorical </w:t>
      </w:r>
      <w:r w:rsidR="004318D4" w:rsidRPr="001A427D">
        <w:rPr>
          <w:rFonts w:cs="Times New Roman"/>
        </w:rPr>
        <w:t>Analysis</w:t>
      </w:r>
      <w:r w:rsidR="00A5458C" w:rsidRPr="001A427D">
        <w:rPr>
          <w:rFonts w:cs="Times New Roman"/>
        </w:rPr>
        <w:t xml:space="preserve"> </w:t>
      </w:r>
      <w:r w:rsidR="00847E1E" w:rsidRPr="001A427D">
        <w:rPr>
          <w:rFonts w:cs="Times New Roman"/>
        </w:rPr>
        <w:t xml:space="preserve">and </w:t>
      </w:r>
      <w:r w:rsidR="00617A58" w:rsidRPr="001A427D">
        <w:rPr>
          <w:rFonts w:cs="Times New Roman"/>
        </w:rPr>
        <w:t>Position Paper</w:t>
      </w:r>
    </w:p>
    <w:p w14:paraId="00A9E068" w14:textId="590572D4" w:rsidR="00847E1E" w:rsidRPr="001A427D" w:rsidRDefault="00847E1E" w:rsidP="00847E1E">
      <w:pPr>
        <w:pStyle w:val="ListParagraph"/>
        <w:numPr>
          <w:ilvl w:val="1"/>
          <w:numId w:val="1"/>
        </w:numPr>
        <w:rPr>
          <w:rFonts w:cs="Times New Roman"/>
        </w:rPr>
      </w:pPr>
      <w:r w:rsidRPr="001A427D">
        <w:rPr>
          <w:rFonts w:cs="Times New Roman"/>
        </w:rPr>
        <w:t>Scaffolding for Argument</w:t>
      </w:r>
    </w:p>
    <w:p w14:paraId="3D15B8FD" w14:textId="1B207F98" w:rsidR="00847E1E" w:rsidRPr="001A427D" w:rsidRDefault="00847E1E" w:rsidP="00847E1E">
      <w:pPr>
        <w:pStyle w:val="ListParagraph"/>
        <w:numPr>
          <w:ilvl w:val="2"/>
          <w:numId w:val="1"/>
        </w:numPr>
        <w:rPr>
          <w:rFonts w:cs="Times New Roman"/>
        </w:rPr>
      </w:pPr>
      <w:r w:rsidRPr="001A427D">
        <w:rPr>
          <w:rFonts w:cs="Times New Roman"/>
        </w:rPr>
        <w:t>Unpack the rhetorical situation (TRACEA—Text (genre), Reader (audience), Author, Constraints, Exigence (purpose, immediacy), Affordances.</w:t>
      </w:r>
    </w:p>
    <w:p w14:paraId="4113166B" w14:textId="1C8889A8" w:rsidR="00847E1E" w:rsidRPr="001A427D" w:rsidRDefault="00847E1E" w:rsidP="00847E1E">
      <w:pPr>
        <w:pStyle w:val="ListParagraph"/>
        <w:numPr>
          <w:ilvl w:val="2"/>
          <w:numId w:val="1"/>
        </w:numPr>
        <w:rPr>
          <w:rFonts w:cs="Times New Roman"/>
        </w:rPr>
      </w:pPr>
      <w:r w:rsidRPr="001A427D">
        <w:rPr>
          <w:rFonts w:cs="Times New Roman"/>
        </w:rPr>
        <w:t>Reverse engineer an argument</w:t>
      </w:r>
    </w:p>
    <w:p w14:paraId="248EE8AE" w14:textId="48CBB4FF" w:rsidR="00847E1E" w:rsidRPr="001A427D" w:rsidRDefault="00847E1E" w:rsidP="00847E1E">
      <w:pPr>
        <w:pStyle w:val="ListParagraph"/>
        <w:numPr>
          <w:ilvl w:val="3"/>
          <w:numId w:val="1"/>
        </w:numPr>
        <w:rPr>
          <w:rFonts w:cs="Times New Roman"/>
        </w:rPr>
      </w:pPr>
      <w:r w:rsidRPr="001A427D">
        <w:rPr>
          <w:rFonts w:cs="Times New Roman"/>
        </w:rPr>
        <w:t>Unpack the rhetorical situation</w:t>
      </w:r>
    </w:p>
    <w:p w14:paraId="49EB7F1E" w14:textId="37F1975C" w:rsidR="00847E1E" w:rsidRPr="001A427D" w:rsidRDefault="00847E1E" w:rsidP="00847E1E">
      <w:pPr>
        <w:pStyle w:val="ListParagraph"/>
        <w:numPr>
          <w:ilvl w:val="2"/>
          <w:numId w:val="1"/>
        </w:numPr>
        <w:rPr>
          <w:rFonts w:cs="Times New Roman"/>
        </w:rPr>
      </w:pPr>
      <w:r w:rsidRPr="001A427D">
        <w:rPr>
          <w:rFonts w:cs="Times New Roman"/>
        </w:rPr>
        <w:t xml:space="preserve">Play with claims: value, definition, policy, etc. </w:t>
      </w:r>
    </w:p>
    <w:p w14:paraId="420B6FCC" w14:textId="2AD94444" w:rsidR="00847E1E" w:rsidRPr="001A427D" w:rsidRDefault="00847E1E" w:rsidP="00847E1E">
      <w:pPr>
        <w:pStyle w:val="ListParagraph"/>
        <w:numPr>
          <w:ilvl w:val="2"/>
          <w:numId w:val="1"/>
        </w:numPr>
        <w:rPr>
          <w:rFonts w:cs="Times New Roman"/>
        </w:rPr>
      </w:pPr>
      <w:r w:rsidRPr="001A427D">
        <w:rPr>
          <w:rFonts w:cs="Times New Roman"/>
        </w:rPr>
        <w:t xml:space="preserve">Types of argument: classical, </w:t>
      </w:r>
      <w:r w:rsidR="009D51E3" w:rsidRPr="001A427D">
        <w:rPr>
          <w:rFonts w:cs="Times New Roman"/>
        </w:rPr>
        <w:t>T</w:t>
      </w:r>
      <w:r w:rsidRPr="001A427D">
        <w:rPr>
          <w:rFonts w:cs="Times New Roman"/>
        </w:rPr>
        <w:t>oulmin, Rogerian</w:t>
      </w:r>
      <w:r w:rsidR="009D51E3" w:rsidRPr="001A427D">
        <w:rPr>
          <w:rFonts w:cs="Times New Roman"/>
        </w:rPr>
        <w:t>, Monroe, Option Three (Safire)</w:t>
      </w:r>
    </w:p>
    <w:p w14:paraId="7B0BFEEC" w14:textId="113F3234" w:rsidR="00847E1E" w:rsidRPr="001A427D" w:rsidRDefault="00847E1E" w:rsidP="00847E1E">
      <w:pPr>
        <w:pStyle w:val="ListParagraph"/>
        <w:numPr>
          <w:ilvl w:val="2"/>
          <w:numId w:val="1"/>
        </w:numPr>
        <w:rPr>
          <w:rStyle w:val="Hyperlink"/>
          <w:rFonts w:cs="Times New Roman"/>
          <w:color w:val="auto"/>
          <w:u w:val="none"/>
        </w:rPr>
      </w:pPr>
      <w:r w:rsidRPr="001A427D">
        <w:rPr>
          <w:rFonts w:cs="Times New Roman"/>
        </w:rPr>
        <w:t xml:space="preserve">Resources: </w:t>
      </w:r>
      <w:hyperlink r:id="rId5" w:history="1">
        <w:r w:rsidRPr="001A427D">
          <w:rPr>
            <w:rStyle w:val="Hyperlink"/>
            <w:rFonts w:cs="Times New Roman"/>
            <w:sz w:val="20"/>
            <w:szCs w:val="20"/>
          </w:rPr>
          <w:t>https://goo.gl/pZL5cr</w:t>
        </w:r>
      </w:hyperlink>
    </w:p>
    <w:p w14:paraId="4075B674" w14:textId="49871B30" w:rsidR="00617A58" w:rsidRPr="001A427D" w:rsidRDefault="00617A58" w:rsidP="00617A58">
      <w:pPr>
        <w:pStyle w:val="ListParagraph"/>
        <w:numPr>
          <w:ilvl w:val="0"/>
          <w:numId w:val="8"/>
        </w:numPr>
        <w:rPr>
          <w:rFonts w:cs="Times New Roman"/>
        </w:rPr>
      </w:pPr>
      <w:r w:rsidRPr="001A427D">
        <w:rPr>
          <w:rFonts w:cs="Times New Roman"/>
        </w:rPr>
        <w:t>Multimodal Project</w:t>
      </w:r>
    </w:p>
    <w:p w14:paraId="19BD27CF" w14:textId="77777777" w:rsidR="00617A58" w:rsidRPr="001A427D" w:rsidRDefault="00617A58" w:rsidP="00617A58">
      <w:pPr>
        <w:pStyle w:val="ListParagraph"/>
        <w:numPr>
          <w:ilvl w:val="1"/>
          <w:numId w:val="8"/>
        </w:numPr>
        <w:rPr>
          <w:rFonts w:cs="Times New Roman"/>
        </w:rPr>
      </w:pPr>
      <w:r w:rsidRPr="001A427D">
        <w:rPr>
          <w:rFonts w:cs="Times New Roman"/>
        </w:rPr>
        <w:t xml:space="preserve">Revised/repurposed argument in a multimodal fashion for a new audience. </w:t>
      </w:r>
    </w:p>
    <w:p w14:paraId="253570B0" w14:textId="2F61BAB8" w:rsidR="00617A58" w:rsidRPr="001A427D" w:rsidRDefault="00617A58" w:rsidP="00617A58">
      <w:pPr>
        <w:pStyle w:val="ListParagraph"/>
        <w:numPr>
          <w:ilvl w:val="1"/>
          <w:numId w:val="8"/>
        </w:numPr>
        <w:rPr>
          <w:rFonts w:cs="Times New Roman"/>
        </w:rPr>
      </w:pPr>
      <w:r w:rsidRPr="001A427D">
        <w:rPr>
          <w:rFonts w:cs="Times New Roman"/>
        </w:rPr>
        <w:t>Public Service Announcement</w:t>
      </w:r>
    </w:p>
    <w:p w14:paraId="0E30DA58" w14:textId="08ACE94C" w:rsidR="00617A58" w:rsidRPr="001A427D" w:rsidRDefault="00617A58" w:rsidP="00617A58">
      <w:pPr>
        <w:pStyle w:val="ListParagraph"/>
        <w:numPr>
          <w:ilvl w:val="1"/>
          <w:numId w:val="8"/>
        </w:numPr>
        <w:rPr>
          <w:rFonts w:cs="Times New Roman"/>
        </w:rPr>
      </w:pPr>
      <w:r w:rsidRPr="001A427D">
        <w:rPr>
          <w:rFonts w:cs="Times New Roman"/>
        </w:rPr>
        <w:t>Commercial</w:t>
      </w:r>
    </w:p>
    <w:p w14:paraId="6C7ECBD1" w14:textId="31C41E34" w:rsidR="00617A58" w:rsidRPr="001A427D" w:rsidRDefault="00617A58" w:rsidP="00617A58">
      <w:pPr>
        <w:pStyle w:val="ListParagraph"/>
        <w:numPr>
          <w:ilvl w:val="1"/>
          <w:numId w:val="8"/>
        </w:numPr>
        <w:rPr>
          <w:rFonts w:cs="Times New Roman"/>
        </w:rPr>
      </w:pPr>
      <w:r w:rsidRPr="001A427D">
        <w:rPr>
          <w:rFonts w:cs="Times New Roman"/>
        </w:rPr>
        <w:t>Audio Ethnography</w:t>
      </w:r>
    </w:p>
    <w:p w14:paraId="4BC77680" w14:textId="332B2BC8" w:rsidR="00617A58" w:rsidRPr="001A427D" w:rsidRDefault="00617A58" w:rsidP="00617A58">
      <w:pPr>
        <w:pStyle w:val="ListParagraph"/>
        <w:numPr>
          <w:ilvl w:val="1"/>
          <w:numId w:val="8"/>
        </w:numPr>
        <w:rPr>
          <w:rFonts w:cs="Times New Roman"/>
        </w:rPr>
      </w:pPr>
      <w:r w:rsidRPr="001A427D">
        <w:rPr>
          <w:rFonts w:cs="Times New Roman"/>
        </w:rPr>
        <w:t>Others</w:t>
      </w:r>
    </w:p>
    <w:p w14:paraId="2ED5C46E" w14:textId="77777777" w:rsidR="001A427D" w:rsidRPr="001A427D" w:rsidRDefault="00617A58" w:rsidP="00617A58">
      <w:pPr>
        <w:pStyle w:val="ListParagraph"/>
        <w:numPr>
          <w:ilvl w:val="0"/>
          <w:numId w:val="8"/>
        </w:numPr>
        <w:rPr>
          <w:rFonts w:cs="Times New Roman"/>
        </w:rPr>
      </w:pPr>
      <w:r w:rsidRPr="001A427D">
        <w:rPr>
          <w:rFonts w:cs="Times New Roman"/>
        </w:rPr>
        <w:t>Final Portfolio</w:t>
      </w:r>
    </w:p>
    <w:p w14:paraId="70F7014B" w14:textId="7FAF0C1C" w:rsidR="001A427D" w:rsidRPr="001A427D" w:rsidRDefault="001A427D" w:rsidP="001A427D">
      <w:pPr>
        <w:pStyle w:val="ListParagraph"/>
        <w:numPr>
          <w:ilvl w:val="1"/>
          <w:numId w:val="8"/>
        </w:numPr>
        <w:rPr>
          <w:rFonts w:cs="Times New Roman"/>
        </w:rPr>
      </w:pPr>
      <w:r w:rsidRPr="001A427D">
        <w:rPr>
          <w:rFonts w:cs="Times New Roman"/>
        </w:rPr>
        <w:t xml:space="preserve">Reflection Letter that reflects on original assignment and discusses changes as a writer over the course of the semester. </w:t>
      </w:r>
    </w:p>
    <w:p w14:paraId="79708C33" w14:textId="48D4FB16" w:rsidR="001A427D" w:rsidRPr="001A427D" w:rsidRDefault="001A427D" w:rsidP="001A427D">
      <w:pPr>
        <w:pStyle w:val="ListParagraph"/>
        <w:numPr>
          <w:ilvl w:val="1"/>
          <w:numId w:val="8"/>
        </w:numPr>
        <w:rPr>
          <w:rFonts w:cs="Times New Roman"/>
        </w:rPr>
      </w:pPr>
      <w:r w:rsidRPr="001A427D">
        <w:rPr>
          <w:rFonts w:cs="Times New Roman"/>
        </w:rPr>
        <w:t xml:space="preserve">Students discuss transfer, how they are prepared to face new writing situations in the future. </w:t>
      </w:r>
    </w:p>
    <w:p w14:paraId="4C4FCB4E" w14:textId="77777777" w:rsidR="001A427D" w:rsidRPr="001A427D" w:rsidRDefault="001A427D" w:rsidP="001A427D">
      <w:pPr>
        <w:pStyle w:val="ListParagraph"/>
        <w:numPr>
          <w:ilvl w:val="1"/>
          <w:numId w:val="8"/>
        </w:numPr>
        <w:rPr>
          <w:rFonts w:cs="Times New Roman"/>
        </w:rPr>
      </w:pPr>
      <w:r w:rsidRPr="001A427D">
        <w:rPr>
          <w:rFonts w:cs="Times New Roman"/>
        </w:rPr>
        <w:t>Each piece has a statement concerning the processes the student went through and the changes to the piece.</w:t>
      </w:r>
    </w:p>
    <w:p w14:paraId="1A3B5DB8" w14:textId="3341D5AD" w:rsidR="00617A58" w:rsidRPr="001A427D" w:rsidRDefault="001A427D" w:rsidP="001A427D">
      <w:pPr>
        <w:pStyle w:val="ListParagraph"/>
        <w:numPr>
          <w:ilvl w:val="1"/>
          <w:numId w:val="8"/>
        </w:numPr>
        <w:rPr>
          <w:rFonts w:cs="Times New Roman"/>
        </w:rPr>
      </w:pPr>
      <w:r w:rsidRPr="001A427D">
        <w:rPr>
          <w:rFonts w:cs="Times New Roman"/>
        </w:rPr>
        <w:lastRenderedPageBreak/>
        <w:t>Evaluation: 50 percent levels of literacy/50 percent growth as a writer</w:t>
      </w:r>
    </w:p>
    <w:p w14:paraId="6EAFE2DF" w14:textId="3D64E4E9" w:rsidR="009F6039" w:rsidRPr="001A427D" w:rsidRDefault="001A427D" w:rsidP="001A427D">
      <w:pPr>
        <w:rPr>
          <w:rFonts w:cs="Times New Roman"/>
        </w:rPr>
      </w:pPr>
      <w:r w:rsidRPr="001A427D">
        <w:rPr>
          <w:rFonts w:cs="Times New Roman"/>
        </w:rPr>
        <w:t>Low Stakes Assignments</w:t>
      </w:r>
    </w:p>
    <w:p w14:paraId="62AE9AC3" w14:textId="6B5F3612" w:rsidR="001A427D" w:rsidRPr="001A427D" w:rsidRDefault="001A427D" w:rsidP="001A427D">
      <w:pPr>
        <w:pStyle w:val="ListParagraph"/>
        <w:numPr>
          <w:ilvl w:val="0"/>
          <w:numId w:val="1"/>
        </w:numPr>
        <w:rPr>
          <w:rFonts w:cs="Times New Roman"/>
        </w:rPr>
      </w:pPr>
      <w:r w:rsidRPr="001A427D">
        <w:rPr>
          <w:rFonts w:cs="Times New Roman"/>
        </w:rPr>
        <w:t>Reading reflections</w:t>
      </w:r>
    </w:p>
    <w:p w14:paraId="3EAA353E" w14:textId="476ABB22" w:rsidR="001A427D" w:rsidRPr="001A427D" w:rsidRDefault="001A427D" w:rsidP="001A427D">
      <w:pPr>
        <w:pStyle w:val="ListParagraph"/>
        <w:numPr>
          <w:ilvl w:val="0"/>
          <w:numId w:val="1"/>
        </w:numPr>
        <w:rPr>
          <w:rFonts w:cs="Times New Roman"/>
        </w:rPr>
      </w:pPr>
      <w:r w:rsidRPr="001A427D">
        <w:rPr>
          <w:rFonts w:cs="Times New Roman"/>
        </w:rPr>
        <w:t>Research Logs</w:t>
      </w:r>
    </w:p>
    <w:p w14:paraId="6499D0DB" w14:textId="77A64663" w:rsidR="001A427D" w:rsidRPr="001A427D" w:rsidRDefault="001A427D" w:rsidP="001A427D">
      <w:pPr>
        <w:pStyle w:val="ListParagraph"/>
        <w:numPr>
          <w:ilvl w:val="0"/>
          <w:numId w:val="1"/>
        </w:numPr>
        <w:rPr>
          <w:rFonts w:cs="Times New Roman"/>
        </w:rPr>
      </w:pPr>
      <w:r w:rsidRPr="001A427D">
        <w:rPr>
          <w:rFonts w:cs="Times New Roman"/>
        </w:rPr>
        <w:t>Revision plans</w:t>
      </w:r>
    </w:p>
    <w:p w14:paraId="40E7309C" w14:textId="1314732C" w:rsidR="001A427D" w:rsidRPr="001A427D" w:rsidRDefault="001A427D" w:rsidP="001A427D">
      <w:pPr>
        <w:pStyle w:val="ListParagraph"/>
        <w:numPr>
          <w:ilvl w:val="0"/>
          <w:numId w:val="1"/>
        </w:numPr>
        <w:rPr>
          <w:rFonts w:cs="Times New Roman"/>
        </w:rPr>
      </w:pPr>
      <w:r w:rsidRPr="001A427D">
        <w:rPr>
          <w:rFonts w:cs="Times New Roman"/>
        </w:rPr>
        <w:t>Writer’s statements</w:t>
      </w:r>
    </w:p>
    <w:p w14:paraId="129322F3" w14:textId="652BB62B" w:rsidR="001A427D" w:rsidRPr="001A427D" w:rsidRDefault="001A427D" w:rsidP="001A427D">
      <w:pPr>
        <w:pStyle w:val="ListParagraph"/>
        <w:numPr>
          <w:ilvl w:val="0"/>
          <w:numId w:val="1"/>
        </w:numPr>
        <w:rPr>
          <w:rFonts w:cs="Times New Roman"/>
        </w:rPr>
      </w:pPr>
      <w:r w:rsidRPr="001A427D">
        <w:rPr>
          <w:rFonts w:cs="Times New Roman"/>
        </w:rPr>
        <w:t xml:space="preserve">Etc. </w:t>
      </w:r>
    </w:p>
    <w:bookmarkEnd w:id="0"/>
    <w:p w14:paraId="286D3A40" w14:textId="77777777" w:rsidR="00847E1E" w:rsidRPr="001A427D" w:rsidRDefault="00847E1E" w:rsidP="00847E1E">
      <w:pPr>
        <w:pStyle w:val="ListParagraph"/>
        <w:ind w:left="2160"/>
        <w:rPr>
          <w:rFonts w:cs="Times New Roman"/>
        </w:rPr>
      </w:pPr>
    </w:p>
    <w:sectPr w:rsidR="00847E1E" w:rsidRPr="001A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Gothic-Dem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97B"/>
    <w:multiLevelType w:val="hybridMultilevel"/>
    <w:tmpl w:val="8D7433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204555"/>
    <w:multiLevelType w:val="hybridMultilevel"/>
    <w:tmpl w:val="14464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F776D"/>
    <w:multiLevelType w:val="hybridMultilevel"/>
    <w:tmpl w:val="2332A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B01"/>
    <w:multiLevelType w:val="hybridMultilevel"/>
    <w:tmpl w:val="1160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00645"/>
    <w:multiLevelType w:val="hybridMultilevel"/>
    <w:tmpl w:val="2332A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97F10"/>
    <w:multiLevelType w:val="hybridMultilevel"/>
    <w:tmpl w:val="58147602"/>
    <w:lvl w:ilvl="0" w:tplc="86829AA4">
      <w:start w:val="1"/>
      <w:numFmt w:val="decimal"/>
      <w:lvlText w:val="%1."/>
      <w:lvlJc w:val="left"/>
      <w:pPr>
        <w:ind w:left="1080" w:hanging="72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E326C"/>
    <w:multiLevelType w:val="hybridMultilevel"/>
    <w:tmpl w:val="03F08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01B4A"/>
    <w:multiLevelType w:val="hybridMultilevel"/>
    <w:tmpl w:val="03F08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8033E"/>
    <w:multiLevelType w:val="hybridMultilevel"/>
    <w:tmpl w:val="4AD6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11A2D"/>
    <w:multiLevelType w:val="hybridMultilevel"/>
    <w:tmpl w:val="CA525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6"/>
  </w:num>
  <w:num w:numId="6">
    <w:abstractNumId w:val="7"/>
  </w:num>
  <w:num w:numId="7">
    <w:abstractNumId w:val="3"/>
  </w:num>
  <w:num w:numId="8">
    <w:abstractNumId w:val="9"/>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DE"/>
    <w:rsid w:val="000374BB"/>
    <w:rsid w:val="00090D41"/>
    <w:rsid w:val="001816C5"/>
    <w:rsid w:val="001A427D"/>
    <w:rsid w:val="001D352B"/>
    <w:rsid w:val="0023189D"/>
    <w:rsid w:val="00287838"/>
    <w:rsid w:val="00337A9C"/>
    <w:rsid w:val="004318D4"/>
    <w:rsid w:val="004971A7"/>
    <w:rsid w:val="005332CD"/>
    <w:rsid w:val="0059470E"/>
    <w:rsid w:val="005C7C4E"/>
    <w:rsid w:val="00617A58"/>
    <w:rsid w:val="00653BDE"/>
    <w:rsid w:val="0077655C"/>
    <w:rsid w:val="00786AC3"/>
    <w:rsid w:val="00847E1E"/>
    <w:rsid w:val="008B2DBD"/>
    <w:rsid w:val="00925367"/>
    <w:rsid w:val="009D51E3"/>
    <w:rsid w:val="009F6039"/>
    <w:rsid w:val="00A5458C"/>
    <w:rsid w:val="00AF7E51"/>
    <w:rsid w:val="00B75DDA"/>
    <w:rsid w:val="00BC7EFF"/>
    <w:rsid w:val="00C547E2"/>
    <w:rsid w:val="00D11539"/>
    <w:rsid w:val="00D45767"/>
    <w:rsid w:val="00DA6B9A"/>
    <w:rsid w:val="00DC0EA0"/>
    <w:rsid w:val="00F0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F0B5"/>
  <w15:chartTrackingRefBased/>
  <w15:docId w15:val="{5A05D6F8-3FE1-4E62-9106-E28B9931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DE"/>
    <w:pPr>
      <w:ind w:left="720"/>
      <w:contextualSpacing/>
    </w:pPr>
  </w:style>
  <w:style w:type="character" w:styleId="Hyperlink">
    <w:name w:val="Hyperlink"/>
    <w:basedOn w:val="DefaultParagraphFont"/>
    <w:uiPriority w:val="99"/>
    <w:unhideWhenUsed/>
    <w:rsid w:val="00DA6B9A"/>
    <w:rPr>
      <w:color w:val="0563C1" w:themeColor="hyperlink"/>
      <w:u w:val="single"/>
    </w:rPr>
  </w:style>
  <w:style w:type="character" w:customStyle="1" w:styleId="UnresolvedMention1">
    <w:name w:val="Unresolved Mention1"/>
    <w:basedOn w:val="DefaultParagraphFont"/>
    <w:uiPriority w:val="99"/>
    <w:semiHidden/>
    <w:unhideWhenUsed/>
    <w:rsid w:val="00DA6B9A"/>
    <w:rPr>
      <w:color w:val="605E5C"/>
      <w:shd w:val="clear" w:color="auto" w:fill="E1DFDD"/>
    </w:rPr>
  </w:style>
  <w:style w:type="character" w:customStyle="1" w:styleId="fontstyle01">
    <w:name w:val="fontstyle01"/>
    <w:basedOn w:val="DefaultParagraphFont"/>
    <w:rsid w:val="009F6039"/>
    <w:rPr>
      <w:rFonts w:ascii="FranklinGothic-Demi" w:hAnsi="FranklinGothic-Demi" w:hint="default"/>
      <w:b w:val="0"/>
      <w:bCs w:val="0"/>
      <w:i w:val="0"/>
      <w:iCs w:val="0"/>
      <w:color w:val="242021"/>
      <w:sz w:val="26"/>
      <w:szCs w:val="26"/>
    </w:rPr>
  </w:style>
  <w:style w:type="table" w:styleId="TableGrid">
    <w:name w:val="Table Grid"/>
    <w:basedOn w:val="TableNormal"/>
    <w:uiPriority w:val="39"/>
    <w:rsid w:val="008B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47E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5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9937">
      <w:bodyDiv w:val="1"/>
      <w:marLeft w:val="0"/>
      <w:marRight w:val="0"/>
      <w:marTop w:val="0"/>
      <w:marBottom w:val="0"/>
      <w:divBdr>
        <w:top w:val="none" w:sz="0" w:space="0" w:color="auto"/>
        <w:left w:val="none" w:sz="0" w:space="0" w:color="auto"/>
        <w:bottom w:val="none" w:sz="0" w:space="0" w:color="auto"/>
        <w:right w:val="none" w:sz="0" w:space="0" w:color="auto"/>
      </w:divBdr>
      <w:divsChild>
        <w:div w:id="712274303">
          <w:marLeft w:val="0"/>
          <w:marRight w:val="0"/>
          <w:marTop w:val="0"/>
          <w:marBottom w:val="0"/>
          <w:divBdr>
            <w:top w:val="none" w:sz="0" w:space="0" w:color="auto"/>
            <w:left w:val="none" w:sz="0" w:space="0" w:color="auto"/>
            <w:bottom w:val="none" w:sz="0" w:space="0" w:color="auto"/>
            <w:right w:val="none" w:sz="0" w:space="0" w:color="auto"/>
          </w:divBdr>
        </w:div>
        <w:div w:id="1255671919">
          <w:marLeft w:val="0"/>
          <w:marRight w:val="0"/>
          <w:marTop w:val="0"/>
          <w:marBottom w:val="0"/>
          <w:divBdr>
            <w:top w:val="none" w:sz="0" w:space="0" w:color="auto"/>
            <w:left w:val="none" w:sz="0" w:space="0" w:color="auto"/>
            <w:bottom w:val="none" w:sz="0" w:space="0" w:color="auto"/>
            <w:right w:val="none" w:sz="0" w:space="0" w:color="auto"/>
          </w:divBdr>
        </w:div>
        <w:div w:id="402066404">
          <w:marLeft w:val="0"/>
          <w:marRight w:val="0"/>
          <w:marTop w:val="0"/>
          <w:marBottom w:val="0"/>
          <w:divBdr>
            <w:top w:val="none" w:sz="0" w:space="0" w:color="auto"/>
            <w:left w:val="none" w:sz="0" w:space="0" w:color="auto"/>
            <w:bottom w:val="none" w:sz="0" w:space="0" w:color="auto"/>
            <w:right w:val="none" w:sz="0" w:space="0" w:color="auto"/>
          </w:divBdr>
        </w:div>
        <w:div w:id="843477472">
          <w:marLeft w:val="0"/>
          <w:marRight w:val="0"/>
          <w:marTop w:val="0"/>
          <w:marBottom w:val="0"/>
          <w:divBdr>
            <w:top w:val="none" w:sz="0" w:space="0" w:color="auto"/>
            <w:left w:val="none" w:sz="0" w:space="0" w:color="auto"/>
            <w:bottom w:val="none" w:sz="0" w:space="0" w:color="auto"/>
            <w:right w:val="none" w:sz="0" w:space="0" w:color="auto"/>
          </w:divBdr>
        </w:div>
        <w:div w:id="1298804391">
          <w:marLeft w:val="0"/>
          <w:marRight w:val="0"/>
          <w:marTop w:val="0"/>
          <w:marBottom w:val="0"/>
          <w:divBdr>
            <w:top w:val="none" w:sz="0" w:space="0" w:color="auto"/>
            <w:left w:val="none" w:sz="0" w:space="0" w:color="auto"/>
            <w:bottom w:val="none" w:sz="0" w:space="0" w:color="auto"/>
            <w:right w:val="none" w:sz="0" w:space="0" w:color="auto"/>
          </w:divBdr>
        </w:div>
        <w:div w:id="1501312176">
          <w:marLeft w:val="0"/>
          <w:marRight w:val="0"/>
          <w:marTop w:val="0"/>
          <w:marBottom w:val="0"/>
          <w:divBdr>
            <w:top w:val="none" w:sz="0" w:space="0" w:color="auto"/>
            <w:left w:val="none" w:sz="0" w:space="0" w:color="auto"/>
            <w:bottom w:val="none" w:sz="0" w:space="0" w:color="auto"/>
            <w:right w:val="none" w:sz="0" w:space="0" w:color="auto"/>
          </w:divBdr>
        </w:div>
        <w:div w:id="1559366247">
          <w:marLeft w:val="0"/>
          <w:marRight w:val="0"/>
          <w:marTop w:val="0"/>
          <w:marBottom w:val="0"/>
          <w:divBdr>
            <w:top w:val="none" w:sz="0" w:space="0" w:color="auto"/>
            <w:left w:val="none" w:sz="0" w:space="0" w:color="auto"/>
            <w:bottom w:val="none" w:sz="0" w:space="0" w:color="auto"/>
            <w:right w:val="none" w:sz="0" w:space="0" w:color="auto"/>
          </w:divBdr>
        </w:div>
        <w:div w:id="636187424">
          <w:marLeft w:val="0"/>
          <w:marRight w:val="0"/>
          <w:marTop w:val="0"/>
          <w:marBottom w:val="0"/>
          <w:divBdr>
            <w:top w:val="none" w:sz="0" w:space="0" w:color="auto"/>
            <w:left w:val="none" w:sz="0" w:space="0" w:color="auto"/>
            <w:bottom w:val="none" w:sz="0" w:space="0" w:color="auto"/>
            <w:right w:val="none" w:sz="0" w:space="0" w:color="auto"/>
          </w:divBdr>
        </w:div>
        <w:div w:id="821505990">
          <w:marLeft w:val="0"/>
          <w:marRight w:val="0"/>
          <w:marTop w:val="0"/>
          <w:marBottom w:val="0"/>
          <w:divBdr>
            <w:top w:val="none" w:sz="0" w:space="0" w:color="auto"/>
            <w:left w:val="none" w:sz="0" w:space="0" w:color="auto"/>
            <w:bottom w:val="none" w:sz="0" w:space="0" w:color="auto"/>
            <w:right w:val="none" w:sz="0" w:space="0" w:color="auto"/>
          </w:divBdr>
        </w:div>
        <w:div w:id="1326475150">
          <w:marLeft w:val="0"/>
          <w:marRight w:val="0"/>
          <w:marTop w:val="0"/>
          <w:marBottom w:val="0"/>
          <w:divBdr>
            <w:top w:val="none" w:sz="0" w:space="0" w:color="auto"/>
            <w:left w:val="none" w:sz="0" w:space="0" w:color="auto"/>
            <w:bottom w:val="none" w:sz="0" w:space="0" w:color="auto"/>
            <w:right w:val="none" w:sz="0" w:space="0" w:color="auto"/>
          </w:divBdr>
        </w:div>
        <w:div w:id="1346979736">
          <w:marLeft w:val="0"/>
          <w:marRight w:val="0"/>
          <w:marTop w:val="0"/>
          <w:marBottom w:val="0"/>
          <w:divBdr>
            <w:top w:val="none" w:sz="0" w:space="0" w:color="auto"/>
            <w:left w:val="none" w:sz="0" w:space="0" w:color="auto"/>
            <w:bottom w:val="none" w:sz="0" w:space="0" w:color="auto"/>
            <w:right w:val="none" w:sz="0" w:space="0" w:color="auto"/>
          </w:divBdr>
        </w:div>
        <w:div w:id="619454664">
          <w:marLeft w:val="0"/>
          <w:marRight w:val="0"/>
          <w:marTop w:val="0"/>
          <w:marBottom w:val="0"/>
          <w:divBdr>
            <w:top w:val="none" w:sz="0" w:space="0" w:color="auto"/>
            <w:left w:val="none" w:sz="0" w:space="0" w:color="auto"/>
            <w:bottom w:val="none" w:sz="0" w:space="0" w:color="auto"/>
            <w:right w:val="none" w:sz="0" w:space="0" w:color="auto"/>
          </w:divBdr>
        </w:div>
        <w:div w:id="410737988">
          <w:marLeft w:val="0"/>
          <w:marRight w:val="0"/>
          <w:marTop w:val="0"/>
          <w:marBottom w:val="0"/>
          <w:divBdr>
            <w:top w:val="none" w:sz="0" w:space="0" w:color="auto"/>
            <w:left w:val="none" w:sz="0" w:space="0" w:color="auto"/>
            <w:bottom w:val="none" w:sz="0" w:space="0" w:color="auto"/>
            <w:right w:val="none" w:sz="0" w:space="0" w:color="auto"/>
          </w:divBdr>
        </w:div>
        <w:div w:id="629095490">
          <w:marLeft w:val="0"/>
          <w:marRight w:val="0"/>
          <w:marTop w:val="0"/>
          <w:marBottom w:val="0"/>
          <w:divBdr>
            <w:top w:val="none" w:sz="0" w:space="0" w:color="auto"/>
            <w:left w:val="none" w:sz="0" w:space="0" w:color="auto"/>
            <w:bottom w:val="none" w:sz="0" w:space="0" w:color="auto"/>
            <w:right w:val="none" w:sz="0" w:space="0" w:color="auto"/>
          </w:divBdr>
        </w:div>
        <w:div w:id="114231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pZL5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9</cp:revision>
  <cp:lastPrinted>2018-11-08T14:34:00Z</cp:lastPrinted>
  <dcterms:created xsi:type="dcterms:W3CDTF">2018-10-17T12:50:00Z</dcterms:created>
  <dcterms:modified xsi:type="dcterms:W3CDTF">2018-11-08T20:11:00Z</dcterms:modified>
</cp:coreProperties>
</file>