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FE0A" w14:textId="77777777" w:rsidR="00A0558B" w:rsidRPr="00DE57ED" w:rsidRDefault="00A0558B" w:rsidP="0058448D">
      <w:pPr>
        <w:spacing w:after="15"/>
        <w:jc w:val="center"/>
        <w:rPr>
          <w:rFonts w:asciiTheme="minorHAnsi" w:hAnsiTheme="minorHAnsi" w:cstheme="minorHAnsi"/>
          <w:sz w:val="22"/>
          <w:szCs w:val="22"/>
        </w:rPr>
      </w:pPr>
      <w:r w:rsidRPr="00DE57ED">
        <w:rPr>
          <w:rFonts w:asciiTheme="minorHAnsi" w:hAnsiTheme="minorHAnsi" w:cstheme="minorHAnsi"/>
          <w:b/>
          <w:sz w:val="22"/>
          <w:szCs w:val="22"/>
        </w:rPr>
        <w:t xml:space="preserve"> CRISIS AND EMERGENCY RISK COMMUNICATION</w:t>
      </w:r>
      <w:r w:rsidRPr="00DE57ED">
        <w:rPr>
          <w:rFonts w:asciiTheme="minorHAnsi" w:hAnsiTheme="minorHAnsi" w:cstheme="minorHAnsi"/>
          <w:b/>
          <w:sz w:val="22"/>
          <w:szCs w:val="22"/>
        </w:rPr>
        <w:br/>
      </w:r>
      <w:bookmarkStart w:id="0" w:name="_Toc305315391"/>
      <w:bookmarkStart w:id="1" w:name="_Toc307686455"/>
    </w:p>
    <w:p w14:paraId="5CC57C67" w14:textId="77777777" w:rsidR="00A0558B" w:rsidRPr="00DE57ED" w:rsidRDefault="00A0558B" w:rsidP="0058448D">
      <w:pPr>
        <w:autoSpaceDE w:val="0"/>
        <w:autoSpaceDN w:val="0"/>
        <w:adjustRightInd w:val="0"/>
        <w:rPr>
          <w:rFonts w:asciiTheme="minorHAnsi" w:hAnsiTheme="minorHAnsi" w:cstheme="minorHAnsi"/>
          <w:sz w:val="22"/>
          <w:szCs w:val="22"/>
        </w:rPr>
      </w:pPr>
      <w:r w:rsidRPr="00DE57ED">
        <w:rPr>
          <w:rFonts w:asciiTheme="minorHAnsi" w:hAnsiTheme="minorHAnsi" w:cstheme="minorHAnsi"/>
          <w:sz w:val="22"/>
          <w:szCs w:val="22"/>
        </w:rPr>
        <w:t xml:space="preserve">COM </w:t>
      </w:r>
      <w:r w:rsidR="00DE57ED" w:rsidRPr="00DE57ED">
        <w:rPr>
          <w:rFonts w:asciiTheme="minorHAnsi" w:hAnsiTheme="minorHAnsi" w:cstheme="minorHAnsi"/>
          <w:sz w:val="22"/>
          <w:szCs w:val="22"/>
        </w:rPr>
        <w:t>3404</w:t>
      </w:r>
      <w:r w:rsidRPr="00DE57ED">
        <w:rPr>
          <w:rFonts w:asciiTheme="minorHAnsi" w:hAnsiTheme="minorHAnsi" w:cstheme="minorHAnsi"/>
          <w:sz w:val="22"/>
          <w:szCs w:val="22"/>
        </w:rPr>
        <w:br/>
        <w:t>Hours and Credits: 3 credits (3 hours)</w:t>
      </w:r>
    </w:p>
    <w:p w14:paraId="1F427328" w14:textId="77777777" w:rsidR="00A0558B" w:rsidRPr="00DE57ED" w:rsidRDefault="00A0558B" w:rsidP="0058448D">
      <w:pPr>
        <w:autoSpaceDE w:val="0"/>
        <w:autoSpaceDN w:val="0"/>
        <w:adjustRightInd w:val="0"/>
        <w:rPr>
          <w:rFonts w:asciiTheme="minorHAnsi" w:hAnsiTheme="minorHAnsi" w:cstheme="minorHAnsi"/>
          <w:sz w:val="22"/>
          <w:szCs w:val="22"/>
        </w:rPr>
      </w:pPr>
      <w:r w:rsidRPr="00DE57ED">
        <w:rPr>
          <w:rFonts w:asciiTheme="minorHAnsi" w:hAnsiTheme="minorHAnsi" w:cstheme="minorHAnsi"/>
          <w:sz w:val="22"/>
          <w:szCs w:val="22"/>
        </w:rPr>
        <w:t>Pathways: World Cultures and Global Issues</w:t>
      </w:r>
    </w:p>
    <w:p w14:paraId="5348830C" w14:textId="77777777" w:rsidR="00A0558B" w:rsidRPr="00DE57ED" w:rsidRDefault="00A0558B" w:rsidP="0058448D">
      <w:pPr>
        <w:autoSpaceDE w:val="0"/>
        <w:autoSpaceDN w:val="0"/>
        <w:adjustRightInd w:val="0"/>
        <w:rPr>
          <w:rFonts w:asciiTheme="minorHAnsi" w:hAnsiTheme="minorHAnsi" w:cstheme="minorHAnsi"/>
          <w:sz w:val="22"/>
          <w:szCs w:val="22"/>
        </w:rPr>
      </w:pPr>
    </w:p>
    <w:p w14:paraId="1FD84212" w14:textId="77777777" w:rsidR="00A0558B" w:rsidRPr="00DE57ED" w:rsidRDefault="00A0558B" w:rsidP="005B5C2F">
      <w:pPr>
        <w:autoSpaceDE w:val="0"/>
        <w:autoSpaceDN w:val="0"/>
        <w:adjustRightInd w:val="0"/>
        <w:rPr>
          <w:rFonts w:asciiTheme="minorHAnsi" w:hAnsiTheme="minorHAnsi" w:cstheme="minorHAnsi"/>
          <w:sz w:val="22"/>
          <w:szCs w:val="22"/>
        </w:rPr>
      </w:pPr>
      <w:r w:rsidRPr="00DE57ED">
        <w:rPr>
          <w:rFonts w:asciiTheme="minorHAnsi" w:hAnsiTheme="minorHAnsi" w:cstheme="minorHAnsi"/>
          <w:b/>
          <w:sz w:val="22"/>
          <w:szCs w:val="22"/>
        </w:rPr>
        <w:t>Course/Catalog Description</w:t>
      </w:r>
      <w:r w:rsidRPr="00DE57ED">
        <w:rPr>
          <w:rFonts w:asciiTheme="minorHAnsi" w:hAnsiTheme="minorHAnsi" w:cstheme="minorHAnsi"/>
          <w:sz w:val="22"/>
          <w:szCs w:val="22"/>
        </w:rPr>
        <w:t xml:space="preserve">: Effective communication is critical in the event of a crises, because the situation is evolving and the public need for information is high. This course focuses on communication during emergencies, such as environmental disasters, mass shootings, disease outbreaks, food and drug safety incidents, etc. Students learn core principles in Crisis and Emergency Risk Communication. Global case studies illustrate best practices and pitfalls, as students prepare for the challenges of communicating in a variety of scenarios, across numerous channels, with diverse target audiences. </w:t>
      </w:r>
    </w:p>
    <w:p w14:paraId="466B76CB" w14:textId="77777777" w:rsidR="00A0558B" w:rsidRPr="00DE57ED" w:rsidRDefault="00A0558B" w:rsidP="00B50FFA">
      <w:pPr>
        <w:autoSpaceDE w:val="0"/>
        <w:autoSpaceDN w:val="0"/>
        <w:adjustRightInd w:val="0"/>
        <w:spacing w:line="276" w:lineRule="auto"/>
        <w:rPr>
          <w:rFonts w:asciiTheme="minorHAnsi" w:hAnsiTheme="minorHAnsi" w:cstheme="minorHAnsi"/>
          <w:sz w:val="22"/>
          <w:szCs w:val="22"/>
          <w:u w:val="single"/>
        </w:rPr>
      </w:pPr>
    </w:p>
    <w:p w14:paraId="23B923D0" w14:textId="77777777" w:rsidR="00A0558B" w:rsidRPr="00DE57ED" w:rsidRDefault="00A0558B" w:rsidP="006F0EE4">
      <w:pPr>
        <w:rPr>
          <w:rFonts w:asciiTheme="minorHAnsi" w:hAnsiTheme="minorHAnsi" w:cstheme="minorHAnsi"/>
          <w:sz w:val="22"/>
          <w:szCs w:val="22"/>
        </w:rPr>
      </w:pPr>
      <w:r w:rsidRPr="00DE57ED">
        <w:rPr>
          <w:rFonts w:asciiTheme="minorHAnsi" w:hAnsiTheme="minorHAnsi" w:cstheme="minorHAnsi"/>
          <w:b/>
          <w:sz w:val="22"/>
          <w:szCs w:val="22"/>
        </w:rPr>
        <w:t xml:space="preserve">Introduction: </w:t>
      </w:r>
      <w:r w:rsidRPr="00DE57ED">
        <w:rPr>
          <w:rFonts w:asciiTheme="minorHAnsi" w:hAnsiTheme="minorHAnsi" w:cstheme="minorHAnsi"/>
          <w:sz w:val="22"/>
          <w:szCs w:val="22"/>
        </w:rPr>
        <w:t>Poverty, climate change, industrial and population growth, political instability—such changes wrought by globalization increase the odds of disasters and the demand for trained emergency responders. Communication is vital for emergency response, whether from hurricanes, tornados, floods, earthquakes or terrorism. Governments, cities, communities, organizations and families need plan ahead before the adverse event. Without a communication strategy in place responders will lack the capacity to effectively respond. This course will help to prepare students seeking careers in public health or emergency management agencies to plan, implement and evaluate risk communication. The curriculum is based on Crisis and Emergency Risk Communication (CERC) principles, which are used by federal, state and local public health professionals/ public information officers to prepare for probable outcomes</w:t>
      </w:r>
      <w:r w:rsidR="00DE57ED" w:rsidRPr="00DE57ED">
        <w:rPr>
          <w:rFonts w:asciiTheme="minorHAnsi" w:hAnsiTheme="minorHAnsi" w:cstheme="minorHAnsi"/>
          <w:sz w:val="22"/>
          <w:szCs w:val="22"/>
        </w:rPr>
        <w:t xml:space="preserve"> in the event of disasters and emergencies</w:t>
      </w:r>
      <w:r w:rsidRPr="00DE57ED">
        <w:rPr>
          <w:rFonts w:asciiTheme="minorHAnsi" w:hAnsiTheme="minorHAnsi" w:cstheme="minorHAnsi"/>
          <w:sz w:val="22"/>
          <w:szCs w:val="22"/>
        </w:rPr>
        <w:t>. In this course students prepare a crisis and emergency risk communication plan, based on lessons from previous global health emergencies.</w:t>
      </w:r>
    </w:p>
    <w:p w14:paraId="109FA2C7" w14:textId="77777777" w:rsidR="00A0558B" w:rsidRPr="00DE57ED" w:rsidRDefault="00A0558B" w:rsidP="00B50FFA">
      <w:pPr>
        <w:autoSpaceDE w:val="0"/>
        <w:autoSpaceDN w:val="0"/>
        <w:adjustRightInd w:val="0"/>
        <w:spacing w:line="276" w:lineRule="auto"/>
        <w:rPr>
          <w:rFonts w:asciiTheme="minorHAnsi" w:hAnsiTheme="minorHAnsi" w:cstheme="minorHAnsi"/>
          <w:sz w:val="22"/>
          <w:szCs w:val="22"/>
          <w:u w:val="single"/>
        </w:rPr>
      </w:pPr>
    </w:p>
    <w:p w14:paraId="57347951" w14:textId="77777777" w:rsidR="00A0558B" w:rsidRPr="00DE57ED" w:rsidRDefault="00A0558B" w:rsidP="006F0EE4">
      <w:pPr>
        <w:autoSpaceDE w:val="0"/>
        <w:autoSpaceDN w:val="0"/>
        <w:adjustRightInd w:val="0"/>
        <w:spacing w:line="276" w:lineRule="auto"/>
        <w:rPr>
          <w:rFonts w:asciiTheme="minorHAnsi" w:hAnsiTheme="minorHAnsi" w:cstheme="minorHAnsi"/>
          <w:b/>
          <w:sz w:val="22"/>
          <w:szCs w:val="22"/>
        </w:rPr>
      </w:pPr>
      <w:r w:rsidRPr="00DE57ED">
        <w:rPr>
          <w:rFonts w:asciiTheme="minorHAnsi" w:hAnsiTheme="minorHAnsi" w:cstheme="minorHAnsi"/>
          <w:b/>
          <w:sz w:val="22"/>
          <w:szCs w:val="22"/>
        </w:rPr>
        <w:t>Textbook:</w:t>
      </w:r>
    </w:p>
    <w:p w14:paraId="131F0E24" w14:textId="77777777" w:rsidR="00A0558B" w:rsidRPr="00DE57ED" w:rsidRDefault="004858AB" w:rsidP="00B50FFA">
      <w:pPr>
        <w:spacing w:line="276" w:lineRule="auto"/>
        <w:rPr>
          <w:rFonts w:asciiTheme="minorHAnsi" w:hAnsiTheme="minorHAnsi" w:cstheme="minorHAnsi"/>
          <w:sz w:val="22"/>
          <w:szCs w:val="22"/>
        </w:rPr>
      </w:pPr>
      <w:hyperlink r:id="rId7" w:history="1">
        <w:r w:rsidR="00A0558B" w:rsidRPr="00DE57ED">
          <w:rPr>
            <w:rStyle w:val="Hyperlink"/>
            <w:rFonts w:asciiTheme="minorHAnsi" w:hAnsiTheme="minorHAnsi" w:cstheme="minorHAnsi"/>
            <w:sz w:val="22"/>
            <w:szCs w:val="22"/>
          </w:rPr>
          <w:t>CDC’s Crisis and Emergency Risk Communication (CERC) manual</w:t>
        </w:r>
      </w:hyperlink>
    </w:p>
    <w:p w14:paraId="296E3C44"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A </w:t>
      </w:r>
      <w:r w:rsidRPr="00DE57ED">
        <w:rPr>
          <w:rFonts w:asciiTheme="minorHAnsi" w:hAnsiTheme="minorHAnsi" w:cstheme="minorHAnsi"/>
          <w:sz w:val="22"/>
          <w:szCs w:val="22"/>
          <w:u w:val="single"/>
        </w:rPr>
        <w:t>free</w:t>
      </w:r>
      <w:r w:rsidRPr="00DE57ED">
        <w:rPr>
          <w:rFonts w:asciiTheme="minorHAnsi" w:hAnsiTheme="minorHAnsi" w:cstheme="minorHAnsi"/>
          <w:sz w:val="22"/>
          <w:szCs w:val="22"/>
        </w:rPr>
        <w:t xml:space="preserve">, online resource from the Centers for Disease Control and Prevention (CDC). Other required reading materials, podcasts and videos posted on the Blackboard site (Bb) by instructor and students. </w:t>
      </w:r>
    </w:p>
    <w:p w14:paraId="050AD798" w14:textId="77777777" w:rsidR="00A0558B" w:rsidRPr="00DE57ED" w:rsidRDefault="00A0558B" w:rsidP="00B50FFA">
      <w:pPr>
        <w:spacing w:line="276" w:lineRule="auto"/>
        <w:rPr>
          <w:rFonts w:asciiTheme="minorHAnsi" w:hAnsiTheme="minorHAnsi" w:cstheme="minorHAnsi"/>
          <w:sz w:val="22"/>
          <w:szCs w:val="22"/>
        </w:rPr>
      </w:pPr>
    </w:p>
    <w:p w14:paraId="0BFDA25C" w14:textId="77777777" w:rsidR="00D80E40" w:rsidRDefault="00A0558B" w:rsidP="00D80E40">
      <w:pPr>
        <w:spacing w:line="276" w:lineRule="auto"/>
        <w:rPr>
          <w:rFonts w:asciiTheme="minorHAnsi" w:hAnsiTheme="minorHAnsi" w:cstheme="minorHAnsi"/>
          <w:sz w:val="22"/>
          <w:szCs w:val="22"/>
        </w:rPr>
      </w:pPr>
      <w:r w:rsidRPr="00DE57ED">
        <w:rPr>
          <w:rFonts w:asciiTheme="minorHAnsi" w:hAnsiTheme="minorHAnsi" w:cstheme="minorHAnsi"/>
          <w:b/>
          <w:sz w:val="22"/>
          <w:szCs w:val="22"/>
        </w:rPr>
        <w:t>Suggested Reading:</w:t>
      </w:r>
      <w:r w:rsidRPr="00DE57ED">
        <w:rPr>
          <w:rFonts w:asciiTheme="minorHAnsi" w:hAnsiTheme="minorHAnsi" w:cstheme="minorHAnsi"/>
          <w:sz w:val="22"/>
          <w:szCs w:val="22"/>
        </w:rPr>
        <w:br/>
        <w:t xml:space="preserve">Haddow, G. and Haddow, K.S. (2014). </w:t>
      </w:r>
      <w:r w:rsidRPr="00DE57ED">
        <w:rPr>
          <w:rFonts w:asciiTheme="minorHAnsi" w:hAnsiTheme="minorHAnsi" w:cstheme="minorHAnsi"/>
          <w:i/>
          <w:sz w:val="22"/>
          <w:szCs w:val="22"/>
        </w:rPr>
        <w:t>Disaster Communications in a Changing Media World</w:t>
      </w:r>
      <w:r w:rsidRPr="00DE57ED">
        <w:rPr>
          <w:rFonts w:asciiTheme="minorHAnsi" w:hAnsiTheme="minorHAnsi" w:cstheme="minorHAnsi"/>
          <w:sz w:val="22"/>
          <w:szCs w:val="22"/>
        </w:rPr>
        <w:t>. ISBN-13: 978-0124078680</w:t>
      </w:r>
    </w:p>
    <w:p w14:paraId="1C4A697B" w14:textId="77777777" w:rsidR="00D80E40" w:rsidRDefault="00D80E40" w:rsidP="00D80E40">
      <w:pPr>
        <w:spacing w:line="276" w:lineRule="auto"/>
        <w:rPr>
          <w:rFonts w:asciiTheme="minorHAnsi" w:hAnsiTheme="minorHAnsi" w:cstheme="minorHAnsi"/>
          <w:b/>
          <w:sz w:val="22"/>
          <w:szCs w:val="22"/>
        </w:rPr>
      </w:pPr>
    </w:p>
    <w:p w14:paraId="6DBD6727" w14:textId="77777777" w:rsidR="00A0558B" w:rsidRPr="00D80E40" w:rsidRDefault="00A0558B" w:rsidP="00D80E40">
      <w:pPr>
        <w:spacing w:line="276" w:lineRule="auto"/>
        <w:jc w:val="center"/>
        <w:rPr>
          <w:rFonts w:asciiTheme="minorHAnsi" w:hAnsiTheme="minorHAnsi" w:cstheme="minorHAnsi"/>
          <w:sz w:val="22"/>
          <w:szCs w:val="22"/>
        </w:rPr>
      </w:pPr>
      <w:r w:rsidRPr="00DE57ED">
        <w:rPr>
          <w:rFonts w:asciiTheme="minorHAnsi" w:hAnsiTheme="minorHAnsi" w:cstheme="minorHAnsi"/>
          <w:b/>
          <w:sz w:val="22"/>
          <w:szCs w:val="22"/>
        </w:rPr>
        <w:t>LEARNING OUTCOMES</w:t>
      </w:r>
    </w:p>
    <w:p w14:paraId="162B2A59" w14:textId="77777777" w:rsidR="00D80E40" w:rsidRDefault="00D80E40" w:rsidP="00D80E40">
      <w:pPr>
        <w:rPr>
          <w:rFonts w:asciiTheme="minorHAnsi" w:hAnsiTheme="minorHAnsi" w:cstheme="minorHAnsi"/>
          <w:b/>
          <w:sz w:val="22"/>
          <w:szCs w:val="22"/>
        </w:rPr>
      </w:pPr>
    </w:p>
    <w:p w14:paraId="11045075" w14:textId="77777777" w:rsidR="00A0558B" w:rsidRPr="00DE57ED" w:rsidRDefault="00A0558B" w:rsidP="00D80E40">
      <w:pPr>
        <w:rPr>
          <w:rFonts w:asciiTheme="minorHAnsi" w:hAnsiTheme="minorHAnsi" w:cstheme="minorHAnsi"/>
          <w:sz w:val="22"/>
          <w:szCs w:val="22"/>
        </w:rPr>
      </w:pPr>
      <w:r w:rsidRPr="00DE57ED">
        <w:rPr>
          <w:rFonts w:asciiTheme="minorHAnsi" w:hAnsiTheme="minorHAnsi" w:cstheme="minorHAnsi"/>
          <w:b/>
          <w:sz w:val="22"/>
          <w:szCs w:val="22"/>
        </w:rPr>
        <w:t>General Education Learning Outcomes:</w:t>
      </w:r>
      <w:r w:rsidRPr="00DE57ED">
        <w:rPr>
          <w:rFonts w:asciiTheme="minorHAnsi" w:hAnsiTheme="minorHAnsi" w:cstheme="minorHAnsi"/>
          <w:sz w:val="22"/>
          <w:szCs w:val="22"/>
        </w:rPr>
        <w:br/>
        <w:t>Upon the successful completion of this course, students are expected to:</w:t>
      </w:r>
    </w:p>
    <w:p w14:paraId="6D8F4DDA" w14:textId="77777777" w:rsidR="00A0558B" w:rsidRPr="00DE57ED" w:rsidRDefault="00A0558B" w:rsidP="00D80E40">
      <w:pPr>
        <w:pStyle w:val="ListParagraph"/>
        <w:numPr>
          <w:ilvl w:val="0"/>
          <w:numId w:val="46"/>
        </w:numPr>
        <w:rPr>
          <w:rFonts w:asciiTheme="minorHAnsi" w:hAnsiTheme="minorHAnsi" w:cstheme="minorHAnsi"/>
          <w:sz w:val="22"/>
          <w:szCs w:val="22"/>
        </w:rPr>
      </w:pPr>
      <w:r w:rsidRPr="00DE57ED">
        <w:rPr>
          <w:rFonts w:asciiTheme="minorHAnsi" w:hAnsiTheme="minorHAnsi" w:cstheme="minorHAnsi"/>
          <w:sz w:val="22"/>
          <w:szCs w:val="22"/>
        </w:rPr>
        <w:t>Gather, interpret, and assess information from a variety of sources and points of view.</w:t>
      </w:r>
    </w:p>
    <w:p w14:paraId="2DAA8AA0" w14:textId="77777777" w:rsidR="00A0558B" w:rsidRPr="00DE57ED" w:rsidRDefault="00A0558B" w:rsidP="00D80E40">
      <w:pPr>
        <w:pStyle w:val="ListParagraph"/>
        <w:numPr>
          <w:ilvl w:val="0"/>
          <w:numId w:val="46"/>
        </w:numPr>
        <w:spacing w:before="100" w:beforeAutospacing="1"/>
        <w:rPr>
          <w:rFonts w:asciiTheme="minorHAnsi" w:hAnsiTheme="minorHAnsi" w:cstheme="minorHAnsi"/>
          <w:sz w:val="22"/>
          <w:szCs w:val="22"/>
        </w:rPr>
      </w:pPr>
      <w:r w:rsidRPr="00DE57ED">
        <w:rPr>
          <w:rFonts w:asciiTheme="minorHAnsi" w:hAnsiTheme="minorHAnsi" w:cstheme="minorHAnsi"/>
          <w:sz w:val="22"/>
          <w:szCs w:val="22"/>
        </w:rPr>
        <w:t>Evaluate evidence and arguments critically or analytically.</w:t>
      </w:r>
    </w:p>
    <w:p w14:paraId="0294DB4B" w14:textId="77777777" w:rsidR="00A0558B" w:rsidRPr="00DE57ED" w:rsidRDefault="00A0558B" w:rsidP="001C788E">
      <w:pPr>
        <w:pStyle w:val="ListParagraph"/>
        <w:numPr>
          <w:ilvl w:val="0"/>
          <w:numId w:val="46"/>
        </w:numPr>
        <w:spacing w:before="100" w:beforeAutospacing="1" w:after="100" w:afterAutospacing="1"/>
        <w:rPr>
          <w:rFonts w:asciiTheme="minorHAnsi" w:hAnsiTheme="minorHAnsi" w:cstheme="minorHAnsi"/>
          <w:sz w:val="22"/>
          <w:szCs w:val="22"/>
        </w:rPr>
      </w:pPr>
      <w:r w:rsidRPr="00DE57ED">
        <w:rPr>
          <w:rFonts w:asciiTheme="minorHAnsi" w:hAnsiTheme="minorHAnsi" w:cstheme="minorHAnsi"/>
          <w:sz w:val="22"/>
          <w:szCs w:val="22"/>
        </w:rPr>
        <w:t>Produce well-reasoned written or oral arguments using evidence to support conclusions.</w:t>
      </w:r>
    </w:p>
    <w:p w14:paraId="23AD8472" w14:textId="77777777" w:rsidR="00A0558B" w:rsidRPr="00DE57ED" w:rsidRDefault="00A0558B" w:rsidP="00D80E40">
      <w:pPr>
        <w:spacing w:before="100" w:beforeAutospacing="1"/>
        <w:rPr>
          <w:rFonts w:asciiTheme="minorHAnsi" w:hAnsiTheme="minorHAnsi" w:cstheme="minorHAnsi"/>
          <w:b/>
          <w:sz w:val="22"/>
          <w:szCs w:val="22"/>
        </w:rPr>
      </w:pPr>
      <w:r w:rsidRPr="00DE57ED">
        <w:rPr>
          <w:rFonts w:asciiTheme="minorHAnsi" w:hAnsiTheme="minorHAnsi" w:cstheme="minorHAnsi"/>
          <w:b/>
          <w:sz w:val="22"/>
          <w:szCs w:val="22"/>
        </w:rPr>
        <w:t>Flexible Core Learning Outcomes (World Cultures and Global Issues):</w:t>
      </w:r>
    </w:p>
    <w:tbl>
      <w:tblPr>
        <w:tblStyle w:val="GridTable1Light-Accent3"/>
        <w:tblW w:w="0" w:type="auto"/>
        <w:tblLook w:val="04A0" w:firstRow="1" w:lastRow="0" w:firstColumn="1" w:lastColumn="0" w:noHBand="0" w:noVBand="1"/>
      </w:tblPr>
      <w:tblGrid>
        <w:gridCol w:w="4135"/>
        <w:gridCol w:w="5215"/>
      </w:tblGrid>
      <w:tr w:rsidR="00A0558B" w:rsidRPr="00DE57ED" w14:paraId="590E7749" w14:textId="77777777" w:rsidTr="003174D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135" w:type="dxa"/>
          </w:tcPr>
          <w:p w14:paraId="52BEC5BC" w14:textId="77777777" w:rsidR="00A0558B" w:rsidRPr="00DE57ED" w:rsidRDefault="00A0558B" w:rsidP="00D80E40">
            <w:pPr>
              <w:spacing w:before="100" w:beforeAutospacing="1"/>
              <w:rPr>
                <w:rFonts w:asciiTheme="minorHAnsi" w:hAnsiTheme="minorHAnsi" w:cstheme="minorHAnsi"/>
                <w:b w:val="0"/>
                <w:sz w:val="22"/>
                <w:szCs w:val="22"/>
              </w:rPr>
            </w:pPr>
            <w:r w:rsidRPr="00DE57ED">
              <w:rPr>
                <w:rFonts w:asciiTheme="minorHAnsi" w:hAnsiTheme="minorHAnsi" w:cstheme="minorHAnsi"/>
                <w:sz w:val="22"/>
                <w:szCs w:val="22"/>
              </w:rPr>
              <w:t>Learning Outcomes</w:t>
            </w:r>
          </w:p>
        </w:tc>
        <w:tc>
          <w:tcPr>
            <w:tcW w:w="5215" w:type="dxa"/>
          </w:tcPr>
          <w:p w14:paraId="7BB4903D" w14:textId="77777777" w:rsidR="00A0558B" w:rsidRPr="00DE57ED" w:rsidRDefault="00A0558B" w:rsidP="00D80E40">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E57ED">
              <w:rPr>
                <w:rFonts w:asciiTheme="minorHAnsi" w:hAnsiTheme="minorHAnsi" w:cstheme="minorHAnsi"/>
                <w:sz w:val="22"/>
                <w:szCs w:val="22"/>
              </w:rPr>
              <w:t>Assessment Methods</w:t>
            </w:r>
          </w:p>
        </w:tc>
      </w:tr>
      <w:tr w:rsidR="00A0558B" w:rsidRPr="00DE57ED" w14:paraId="0032351C" w14:textId="77777777" w:rsidTr="003174D8">
        <w:trPr>
          <w:trHeight w:val="2222"/>
        </w:trPr>
        <w:tc>
          <w:tcPr>
            <w:cnfStyle w:val="001000000000" w:firstRow="0" w:lastRow="0" w:firstColumn="1" w:lastColumn="0" w:oddVBand="0" w:evenVBand="0" w:oddHBand="0" w:evenHBand="0" w:firstRowFirstColumn="0" w:firstRowLastColumn="0" w:lastRowFirstColumn="0" w:lastRowLastColumn="0"/>
            <w:tcW w:w="4135" w:type="dxa"/>
          </w:tcPr>
          <w:p w14:paraId="1B030091" w14:textId="77777777" w:rsidR="00A0558B" w:rsidRPr="00DE57ED" w:rsidRDefault="00A0558B" w:rsidP="005B6493">
            <w:pPr>
              <w:spacing w:before="100" w:beforeAutospacing="1" w:after="100" w:afterAutospacing="1"/>
              <w:rPr>
                <w:rFonts w:asciiTheme="minorHAnsi" w:hAnsiTheme="minorHAnsi" w:cstheme="minorHAnsi"/>
                <w:b w:val="0"/>
                <w:sz w:val="22"/>
                <w:szCs w:val="22"/>
              </w:rPr>
            </w:pPr>
            <w:r w:rsidRPr="00DE57ED">
              <w:rPr>
                <w:rFonts w:asciiTheme="minorHAnsi" w:hAnsiTheme="minorHAnsi" w:cstheme="minorHAnsi"/>
                <w:b w:val="0"/>
                <w:sz w:val="22"/>
                <w:szCs w:val="22"/>
              </w:rPr>
              <w:lastRenderedPageBreak/>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c>
          <w:tcPr>
            <w:tcW w:w="5215" w:type="dxa"/>
          </w:tcPr>
          <w:p w14:paraId="5D39745E" w14:textId="77777777" w:rsidR="00A0558B" w:rsidRPr="00DE57ED" w:rsidRDefault="00A0558B" w:rsidP="005B64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57ED">
              <w:rPr>
                <w:rFonts w:asciiTheme="minorHAnsi" w:hAnsiTheme="minorHAnsi" w:cstheme="minorHAnsi"/>
                <w:sz w:val="22"/>
                <w:szCs w:val="22"/>
              </w:rPr>
              <w:t>Assignments are designed for students to make discoveries of fundamental issues and ideas in Communication Studies, related to the informative, persuasive and affective dimensions of risk and emergency response communication. Students are assessed for their ability to apply insights to solve communication problems, and, through media monitoring, describe the “communication environment” surrounding global events.</w:t>
            </w:r>
          </w:p>
        </w:tc>
      </w:tr>
      <w:tr w:rsidR="00A0558B" w:rsidRPr="00DE57ED" w14:paraId="7E0ECF8C" w14:textId="77777777" w:rsidTr="003174D8">
        <w:tc>
          <w:tcPr>
            <w:cnfStyle w:val="001000000000" w:firstRow="0" w:lastRow="0" w:firstColumn="1" w:lastColumn="0" w:oddVBand="0" w:evenVBand="0" w:oddHBand="0" w:evenHBand="0" w:firstRowFirstColumn="0" w:firstRowLastColumn="0" w:lastRowFirstColumn="0" w:lastRowLastColumn="0"/>
            <w:tcW w:w="4135" w:type="dxa"/>
          </w:tcPr>
          <w:p w14:paraId="212C296C" w14:textId="77777777" w:rsidR="00A0558B" w:rsidRPr="00DE57ED" w:rsidRDefault="00A0558B" w:rsidP="005B6493">
            <w:pPr>
              <w:spacing w:before="100" w:beforeAutospacing="1" w:after="100" w:afterAutospacing="1"/>
              <w:rPr>
                <w:rFonts w:asciiTheme="minorHAnsi" w:hAnsiTheme="minorHAnsi" w:cstheme="minorHAnsi"/>
                <w:b w:val="0"/>
                <w:sz w:val="22"/>
                <w:szCs w:val="22"/>
              </w:rPr>
            </w:pPr>
            <w:r w:rsidRPr="00DE57ED">
              <w:rPr>
                <w:rFonts w:asciiTheme="minorHAnsi" w:hAnsiTheme="minorHAnsi" w:cstheme="minorHAnsi"/>
                <w:b w:val="0"/>
                <w:sz w:val="22"/>
                <w:szCs w:val="22"/>
              </w:rPr>
              <w:t>Analyze culture, globalization, or global cultural diversity, and describe an event or process from more than one point of view.</w:t>
            </w:r>
          </w:p>
        </w:tc>
        <w:tc>
          <w:tcPr>
            <w:tcW w:w="5215" w:type="dxa"/>
          </w:tcPr>
          <w:p w14:paraId="363DDB32" w14:textId="77777777" w:rsidR="00A0558B" w:rsidRPr="00DE57ED" w:rsidRDefault="00A0558B" w:rsidP="005B64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57ED">
              <w:rPr>
                <w:rFonts w:asciiTheme="minorHAnsi" w:hAnsiTheme="minorHAnsi" w:cstheme="minorHAnsi"/>
                <w:sz w:val="22"/>
                <w:szCs w:val="22"/>
              </w:rPr>
              <w:t>The globally focused case study approach requires students to interpret the influence of linguistic, cultural and ethnic differences on events, making comparisons cross-culturally.</w:t>
            </w:r>
          </w:p>
        </w:tc>
      </w:tr>
      <w:tr w:rsidR="00A0558B" w:rsidRPr="00DE57ED" w14:paraId="5A785706" w14:textId="77777777" w:rsidTr="003174D8">
        <w:tc>
          <w:tcPr>
            <w:cnfStyle w:val="001000000000" w:firstRow="0" w:lastRow="0" w:firstColumn="1" w:lastColumn="0" w:oddVBand="0" w:evenVBand="0" w:oddHBand="0" w:evenHBand="0" w:firstRowFirstColumn="0" w:firstRowLastColumn="0" w:lastRowFirstColumn="0" w:lastRowLastColumn="0"/>
            <w:tcW w:w="4135" w:type="dxa"/>
          </w:tcPr>
          <w:p w14:paraId="193D2B84" w14:textId="77777777" w:rsidR="00A0558B" w:rsidRPr="00DE57ED" w:rsidRDefault="00A0558B" w:rsidP="005B6493">
            <w:pPr>
              <w:spacing w:before="100" w:beforeAutospacing="1" w:after="100" w:afterAutospacing="1"/>
              <w:rPr>
                <w:rFonts w:asciiTheme="minorHAnsi" w:hAnsiTheme="minorHAnsi" w:cstheme="minorHAnsi"/>
                <w:b w:val="0"/>
                <w:sz w:val="22"/>
                <w:szCs w:val="22"/>
              </w:rPr>
            </w:pPr>
            <w:r w:rsidRPr="00DE57ED">
              <w:rPr>
                <w:rFonts w:asciiTheme="minorHAnsi" w:hAnsiTheme="minorHAnsi" w:cstheme="minorHAnsi"/>
                <w:b w:val="0"/>
                <w:sz w:val="22"/>
                <w:szCs w:val="22"/>
              </w:rPr>
              <w:t>Analyze the historical development of one or more non-U.S. societies.</w:t>
            </w:r>
          </w:p>
        </w:tc>
        <w:tc>
          <w:tcPr>
            <w:tcW w:w="5215" w:type="dxa"/>
          </w:tcPr>
          <w:p w14:paraId="5ABB31F4" w14:textId="77777777" w:rsidR="00A0558B" w:rsidRPr="00DE57ED" w:rsidRDefault="00A0558B" w:rsidP="005B64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57ED">
              <w:rPr>
                <w:rFonts w:asciiTheme="minorHAnsi" w:hAnsiTheme="minorHAnsi" w:cstheme="minorHAnsi"/>
                <w:sz w:val="22"/>
                <w:szCs w:val="22"/>
              </w:rPr>
              <w:t>Readings show the influence of historical and social factors on global crises. For example, how international trade agreements affect public health infrastructure in Haiti.</w:t>
            </w:r>
          </w:p>
        </w:tc>
      </w:tr>
      <w:tr w:rsidR="00A0558B" w:rsidRPr="00DE57ED" w14:paraId="70BF4E5D" w14:textId="77777777" w:rsidTr="003174D8">
        <w:trPr>
          <w:trHeight w:val="70"/>
        </w:trPr>
        <w:tc>
          <w:tcPr>
            <w:cnfStyle w:val="001000000000" w:firstRow="0" w:lastRow="0" w:firstColumn="1" w:lastColumn="0" w:oddVBand="0" w:evenVBand="0" w:oddHBand="0" w:evenHBand="0" w:firstRowFirstColumn="0" w:firstRowLastColumn="0" w:lastRowFirstColumn="0" w:lastRowLastColumn="0"/>
            <w:tcW w:w="4135" w:type="dxa"/>
          </w:tcPr>
          <w:p w14:paraId="55AF64E9" w14:textId="77777777" w:rsidR="00A0558B" w:rsidRPr="00DE57ED" w:rsidRDefault="00A0558B" w:rsidP="005B6493">
            <w:pPr>
              <w:spacing w:before="100" w:beforeAutospacing="1" w:after="100" w:afterAutospacing="1"/>
              <w:rPr>
                <w:rFonts w:asciiTheme="minorHAnsi" w:hAnsiTheme="minorHAnsi" w:cstheme="minorHAnsi"/>
                <w:b w:val="0"/>
                <w:sz w:val="22"/>
                <w:szCs w:val="22"/>
              </w:rPr>
            </w:pPr>
            <w:r w:rsidRPr="00DE57ED">
              <w:rPr>
                <w:rFonts w:asciiTheme="minorHAnsi" w:hAnsiTheme="minorHAnsi" w:cstheme="minorHAnsi"/>
                <w:b w:val="0"/>
                <w:sz w:val="22"/>
                <w:szCs w:val="22"/>
              </w:rPr>
              <w:t>Analyze and discuss the role that race, ethnicity, class, gender, language, sexual orientation, belief, or other forms of social differentiation play in world cultures or societies.</w:t>
            </w:r>
          </w:p>
        </w:tc>
        <w:tc>
          <w:tcPr>
            <w:tcW w:w="5215" w:type="dxa"/>
          </w:tcPr>
          <w:p w14:paraId="44BF0F6B" w14:textId="77777777" w:rsidR="00A0558B" w:rsidRPr="00DE57ED" w:rsidRDefault="00A0558B" w:rsidP="005B64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E57ED">
              <w:rPr>
                <w:rFonts w:asciiTheme="minorHAnsi" w:hAnsiTheme="minorHAnsi" w:cstheme="minorHAnsi"/>
                <w:sz w:val="22"/>
                <w:szCs w:val="22"/>
              </w:rPr>
              <w:t>Discussion prompts, case studies and final papers are evaluated for their relevance to serving the information needs of at-risk populations, historically underserved by public health interventions, due to poverty, language barriers and discrimination.</w:t>
            </w:r>
          </w:p>
        </w:tc>
      </w:tr>
    </w:tbl>
    <w:p w14:paraId="762E4576" w14:textId="77777777" w:rsidR="00A0558B" w:rsidRPr="00DE57ED" w:rsidRDefault="00A0558B" w:rsidP="00B50FFA">
      <w:pPr>
        <w:spacing w:line="276" w:lineRule="auto"/>
        <w:rPr>
          <w:rFonts w:asciiTheme="minorHAnsi" w:hAnsiTheme="minorHAnsi" w:cstheme="minorHAnsi"/>
          <w:b/>
          <w:sz w:val="22"/>
          <w:szCs w:val="22"/>
        </w:rPr>
      </w:pPr>
    </w:p>
    <w:p w14:paraId="682BAD7C" w14:textId="77777777" w:rsidR="00A0558B" w:rsidRPr="00DE57ED" w:rsidRDefault="00A0558B" w:rsidP="006F0EE4">
      <w:pPr>
        <w:autoSpaceDE w:val="0"/>
        <w:autoSpaceDN w:val="0"/>
        <w:adjustRightInd w:val="0"/>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Course Intended Learning Outcomes:  </w:t>
      </w:r>
    </w:p>
    <w:p w14:paraId="6EAB645B"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Identify events/ trends happening globally and their potential threat to public health</w:t>
      </w:r>
      <w:r w:rsidR="009F095B">
        <w:rPr>
          <w:rFonts w:asciiTheme="minorHAnsi" w:hAnsiTheme="minorHAnsi" w:cstheme="minorHAnsi"/>
          <w:sz w:val="22"/>
          <w:szCs w:val="22"/>
        </w:rPr>
        <w:t>.</w:t>
      </w:r>
    </w:p>
    <w:p w14:paraId="4035EFFE"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Explain Crisis and Emergency Risk Communication (CERC) principles.</w:t>
      </w:r>
    </w:p>
    <w:p w14:paraId="7044C3B4"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Describe typical reactions to a crisis/disaster and the type of messages each audience needs.</w:t>
      </w:r>
    </w:p>
    <w:p w14:paraId="1914C7D4"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Determine how to tailor messages </w:t>
      </w:r>
      <w:r w:rsidR="009F095B">
        <w:rPr>
          <w:rFonts w:asciiTheme="minorHAnsi" w:hAnsiTheme="minorHAnsi" w:cstheme="minorHAnsi"/>
          <w:sz w:val="22"/>
          <w:szCs w:val="22"/>
        </w:rPr>
        <w:t>for</w:t>
      </w:r>
      <w:r w:rsidRPr="00DE57ED">
        <w:rPr>
          <w:rFonts w:asciiTheme="minorHAnsi" w:hAnsiTheme="minorHAnsi" w:cstheme="minorHAnsi"/>
          <w:sz w:val="22"/>
          <w:szCs w:val="22"/>
        </w:rPr>
        <w:t xml:space="preserve"> diverse populations.</w:t>
      </w:r>
    </w:p>
    <w:p w14:paraId="4D42D82C"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Define core concepts and principles for creating a crisis communication plan.</w:t>
      </w:r>
    </w:p>
    <w:p w14:paraId="186BE6C1" w14:textId="77777777" w:rsidR="00A0558B" w:rsidRPr="00DE57ED" w:rsidRDefault="00A0558B" w:rsidP="00DE57ED">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Explain the role of media in public health emergencies</w:t>
      </w:r>
      <w:r w:rsidR="00DE57ED">
        <w:rPr>
          <w:rFonts w:asciiTheme="minorHAnsi" w:hAnsiTheme="minorHAnsi" w:cstheme="minorHAnsi"/>
          <w:sz w:val="22"/>
          <w:szCs w:val="22"/>
        </w:rPr>
        <w:t xml:space="preserve"> using</w:t>
      </w:r>
      <w:r w:rsidR="00DE57ED" w:rsidRPr="00DE57ED">
        <w:rPr>
          <w:rFonts w:asciiTheme="minorHAnsi" w:hAnsiTheme="minorHAnsi" w:cstheme="minorHAnsi"/>
          <w:sz w:val="22"/>
          <w:szCs w:val="22"/>
        </w:rPr>
        <w:t xml:space="preserve"> media monitoring and metrics.</w:t>
      </w:r>
    </w:p>
    <w:p w14:paraId="7E803AA0" w14:textId="77777777" w:rsidR="00A0558B" w:rsidRPr="00DE57ED" w:rsidRDefault="00DE57ED"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Understand </w:t>
      </w:r>
      <w:r w:rsidR="00A0558B" w:rsidRPr="00DE57ED">
        <w:rPr>
          <w:rFonts w:asciiTheme="minorHAnsi" w:hAnsiTheme="minorHAnsi" w:cstheme="minorHAnsi"/>
          <w:sz w:val="22"/>
          <w:szCs w:val="22"/>
        </w:rPr>
        <w:t xml:space="preserve">the </w:t>
      </w:r>
      <w:r w:rsidR="00D80E40">
        <w:rPr>
          <w:rFonts w:asciiTheme="minorHAnsi" w:hAnsiTheme="minorHAnsi" w:cstheme="minorHAnsi"/>
          <w:sz w:val="22"/>
          <w:szCs w:val="22"/>
        </w:rPr>
        <w:t>function</w:t>
      </w:r>
      <w:r>
        <w:rPr>
          <w:rFonts w:asciiTheme="minorHAnsi" w:hAnsiTheme="minorHAnsi" w:cstheme="minorHAnsi"/>
          <w:sz w:val="22"/>
          <w:szCs w:val="22"/>
        </w:rPr>
        <w:t xml:space="preserve"> </w:t>
      </w:r>
      <w:r w:rsidR="00A0558B" w:rsidRPr="00DE57ED">
        <w:rPr>
          <w:rFonts w:asciiTheme="minorHAnsi" w:hAnsiTheme="minorHAnsi" w:cstheme="minorHAnsi"/>
          <w:sz w:val="22"/>
          <w:szCs w:val="22"/>
        </w:rPr>
        <w:t>of spokespersons and information officers.</w:t>
      </w:r>
    </w:p>
    <w:p w14:paraId="1855F507" w14:textId="77777777" w:rsidR="00A0558B" w:rsidRPr="00DE57ED" w:rsidRDefault="00A0558B" w:rsidP="006F0EE4">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Identify ways to develop relationships with stakeholders and partners.</w:t>
      </w:r>
    </w:p>
    <w:p w14:paraId="34A5CC69" w14:textId="77777777" w:rsidR="00A0558B" w:rsidRDefault="00A0558B" w:rsidP="00B50FFA">
      <w:pPr>
        <w:pStyle w:val="ListParagraph"/>
        <w:numPr>
          <w:ilvl w:val="0"/>
          <w:numId w:val="34"/>
        </w:numPr>
        <w:autoSpaceDE w:val="0"/>
        <w:autoSpaceDN w:val="0"/>
        <w:adjustRightInd w:val="0"/>
        <w:spacing w:line="276" w:lineRule="auto"/>
        <w:rPr>
          <w:rFonts w:asciiTheme="minorHAnsi" w:hAnsiTheme="minorHAnsi" w:cstheme="minorHAnsi"/>
          <w:sz w:val="22"/>
          <w:szCs w:val="22"/>
        </w:rPr>
      </w:pPr>
      <w:r w:rsidRPr="00DE57ED">
        <w:rPr>
          <w:rFonts w:asciiTheme="minorHAnsi" w:hAnsiTheme="minorHAnsi" w:cstheme="minorHAnsi"/>
          <w:sz w:val="22"/>
          <w:szCs w:val="22"/>
        </w:rPr>
        <w:t>Global opportunities for multilingual health professionals in emergency response.</w:t>
      </w:r>
    </w:p>
    <w:p w14:paraId="579F9AD4" w14:textId="77777777" w:rsidR="009F095B" w:rsidRPr="00D80E40" w:rsidRDefault="009F095B" w:rsidP="00D80E40">
      <w:pPr>
        <w:autoSpaceDE w:val="0"/>
        <w:autoSpaceDN w:val="0"/>
        <w:adjustRightInd w:val="0"/>
        <w:spacing w:line="276" w:lineRule="auto"/>
        <w:rPr>
          <w:rFonts w:asciiTheme="minorHAnsi" w:hAnsiTheme="minorHAnsi" w:cstheme="minorHAnsi"/>
          <w:sz w:val="22"/>
          <w:szCs w:val="22"/>
        </w:rPr>
      </w:pPr>
    </w:p>
    <w:p w14:paraId="2103AA2F" w14:textId="77777777" w:rsidR="00A0558B" w:rsidRPr="00DE57ED" w:rsidRDefault="00A0558B" w:rsidP="00043DC2">
      <w:pPr>
        <w:jc w:val="center"/>
        <w:rPr>
          <w:rFonts w:asciiTheme="minorHAnsi" w:hAnsiTheme="minorHAnsi" w:cstheme="minorHAnsi"/>
          <w:b/>
          <w:sz w:val="22"/>
          <w:szCs w:val="22"/>
        </w:rPr>
      </w:pPr>
      <w:r w:rsidRPr="00DE57ED">
        <w:rPr>
          <w:rFonts w:asciiTheme="minorHAnsi" w:hAnsiTheme="minorHAnsi" w:cstheme="minorHAnsi"/>
          <w:b/>
          <w:sz w:val="22"/>
          <w:szCs w:val="22"/>
        </w:rPr>
        <w:t>ASSIGNMENTS</w:t>
      </w:r>
    </w:p>
    <w:p w14:paraId="24A48785" w14:textId="77777777" w:rsidR="00A0558B" w:rsidRPr="00DE57ED" w:rsidRDefault="00A0558B" w:rsidP="00043DC2">
      <w:pPr>
        <w:rPr>
          <w:rFonts w:asciiTheme="minorHAnsi" w:hAnsiTheme="minorHAnsi" w:cstheme="minorHAnsi"/>
          <w:sz w:val="22"/>
          <w:szCs w:val="22"/>
        </w:rPr>
      </w:pPr>
      <w:r w:rsidRPr="00DE57ED">
        <w:rPr>
          <w:rFonts w:asciiTheme="minorHAnsi" w:hAnsiTheme="minorHAnsi" w:cstheme="minorHAnsi"/>
          <w:sz w:val="22"/>
          <w:szCs w:val="22"/>
        </w:rPr>
        <w:br/>
        <w:t xml:space="preserve">Full descriptions and instructions for assignments can be found on Blackboard. Please review these well in advance of assignment due dates so you can have your questions about assignments answered in class. For all assignments, follow the instructions </w:t>
      </w:r>
      <w:r w:rsidRPr="00DE57ED">
        <w:rPr>
          <w:rFonts w:asciiTheme="minorHAnsi" w:hAnsiTheme="minorHAnsi" w:cstheme="minorHAnsi"/>
          <w:sz w:val="22"/>
          <w:szCs w:val="22"/>
          <w:u w:val="single"/>
        </w:rPr>
        <w:t>carefully</w:t>
      </w:r>
      <w:r w:rsidRPr="00DE57ED">
        <w:rPr>
          <w:rFonts w:asciiTheme="minorHAnsi" w:hAnsiTheme="minorHAnsi" w:cstheme="minorHAnsi"/>
          <w:sz w:val="22"/>
          <w:szCs w:val="22"/>
        </w:rPr>
        <w:t xml:space="preserve"> and </w:t>
      </w:r>
      <w:r w:rsidRPr="00DE57ED">
        <w:rPr>
          <w:rFonts w:asciiTheme="minorHAnsi" w:hAnsiTheme="minorHAnsi" w:cstheme="minorHAnsi"/>
          <w:sz w:val="22"/>
          <w:szCs w:val="22"/>
          <w:u w:val="single"/>
        </w:rPr>
        <w:t>closely</w:t>
      </w:r>
      <w:r w:rsidRPr="00DE57ED">
        <w:rPr>
          <w:rFonts w:asciiTheme="minorHAnsi" w:hAnsiTheme="minorHAnsi" w:cstheme="minorHAnsi"/>
          <w:b/>
          <w:sz w:val="22"/>
          <w:szCs w:val="22"/>
        </w:rPr>
        <w:t xml:space="preserve"> </w:t>
      </w:r>
      <w:r w:rsidRPr="00DE57ED">
        <w:rPr>
          <w:rFonts w:asciiTheme="minorHAnsi" w:hAnsiTheme="minorHAnsi" w:cstheme="minorHAnsi"/>
          <w:sz w:val="22"/>
          <w:szCs w:val="22"/>
        </w:rPr>
        <w:t>to ensure successful completion.</w:t>
      </w:r>
    </w:p>
    <w:p w14:paraId="56EFC6DE" w14:textId="77777777" w:rsidR="00A0558B" w:rsidRPr="00DE57ED" w:rsidRDefault="00A0558B" w:rsidP="00B50FFA">
      <w:pPr>
        <w:spacing w:line="276" w:lineRule="auto"/>
        <w:rPr>
          <w:rFonts w:asciiTheme="minorHAnsi" w:hAnsiTheme="minorHAnsi" w:cstheme="minorHAnsi"/>
          <w:sz w:val="22"/>
          <w:szCs w:val="22"/>
        </w:rPr>
      </w:pPr>
    </w:p>
    <w:p w14:paraId="47AD0C6A" w14:textId="77777777" w:rsidR="00A0558B" w:rsidRPr="00DE57ED" w:rsidRDefault="00A0558B" w:rsidP="006F10B2">
      <w:pPr>
        <w:spacing w:line="276" w:lineRule="auto"/>
        <w:rPr>
          <w:rFonts w:asciiTheme="minorHAnsi" w:hAnsiTheme="minorHAnsi" w:cstheme="minorHAnsi"/>
          <w:sz w:val="22"/>
          <w:szCs w:val="22"/>
        </w:rPr>
      </w:pPr>
      <w:r w:rsidRPr="00DE57ED">
        <w:rPr>
          <w:rFonts w:asciiTheme="minorHAnsi" w:hAnsiTheme="minorHAnsi" w:cstheme="minorHAnsi"/>
          <w:b/>
          <w:sz w:val="22"/>
          <w:szCs w:val="22"/>
        </w:rPr>
        <w:t>Simulated Crisis Response:</w:t>
      </w:r>
      <w:r w:rsidRPr="00DE57ED">
        <w:rPr>
          <w:rFonts w:asciiTheme="minorHAnsi" w:hAnsiTheme="minorHAnsi" w:cstheme="minorHAnsi"/>
          <w:sz w:val="22"/>
          <w:szCs w:val="22"/>
        </w:rPr>
        <w:t xml:space="preserve"> </w:t>
      </w:r>
      <w:r w:rsidRPr="00DE57ED">
        <w:rPr>
          <w:rFonts w:asciiTheme="minorHAnsi" w:hAnsiTheme="minorHAnsi" w:cstheme="minorHAnsi"/>
          <w:sz w:val="22"/>
          <w:szCs w:val="22"/>
        </w:rPr>
        <w:br/>
        <w:t xml:space="preserve">In this activity, two cards are drawn from different decks, naming a hypothetical event </w:t>
      </w:r>
      <w:r w:rsidR="00D80E40">
        <w:rPr>
          <w:rFonts w:asciiTheme="minorHAnsi" w:hAnsiTheme="minorHAnsi" w:cstheme="minorHAnsi"/>
          <w:sz w:val="22"/>
          <w:szCs w:val="22"/>
        </w:rPr>
        <w:t xml:space="preserve">that </w:t>
      </w:r>
      <w:r w:rsidRPr="00DE57ED">
        <w:rPr>
          <w:rFonts w:asciiTheme="minorHAnsi" w:hAnsiTheme="minorHAnsi" w:cstheme="minorHAnsi"/>
          <w:sz w:val="22"/>
          <w:szCs w:val="22"/>
        </w:rPr>
        <w:t>represent</w:t>
      </w:r>
      <w:r w:rsidR="00D80E40">
        <w:rPr>
          <w:rFonts w:asciiTheme="minorHAnsi" w:hAnsiTheme="minorHAnsi" w:cstheme="minorHAnsi"/>
          <w:sz w:val="22"/>
          <w:szCs w:val="22"/>
        </w:rPr>
        <w:t>s</w:t>
      </w:r>
      <w:r w:rsidRPr="00DE57ED">
        <w:rPr>
          <w:rFonts w:asciiTheme="minorHAnsi" w:hAnsiTheme="minorHAnsi" w:cstheme="minorHAnsi"/>
          <w:sz w:val="22"/>
          <w:szCs w:val="22"/>
        </w:rPr>
        <w:t xml:space="preserve"> a dangerous situation. Once the event is chosen, each student receives a name badge with the title of some stakeholder affected by the crisis. Instructions inside each badge explain who the student is </w:t>
      </w:r>
      <w:r w:rsidRPr="00DE57ED">
        <w:rPr>
          <w:rFonts w:asciiTheme="minorHAnsi" w:hAnsiTheme="minorHAnsi" w:cstheme="minorHAnsi"/>
          <w:sz w:val="22"/>
          <w:szCs w:val="22"/>
        </w:rPr>
        <w:lastRenderedPageBreak/>
        <w:t>supposed to meet with and what task they need to complete. After 15 minutes, a mock press conference is held. Those in leadership roles give statements about the event according to CERC principles. Some members of the audience play adversarial role</w:t>
      </w:r>
      <w:r w:rsidR="00E229A9">
        <w:rPr>
          <w:rFonts w:asciiTheme="minorHAnsi" w:hAnsiTheme="minorHAnsi" w:cstheme="minorHAnsi"/>
          <w:sz w:val="22"/>
          <w:szCs w:val="22"/>
        </w:rPr>
        <w:t>s</w:t>
      </w:r>
      <w:r w:rsidRPr="00DE57ED">
        <w:rPr>
          <w:rFonts w:asciiTheme="minorHAnsi" w:hAnsiTheme="minorHAnsi" w:cstheme="minorHAnsi"/>
          <w:sz w:val="22"/>
          <w:szCs w:val="22"/>
        </w:rPr>
        <w:t xml:space="preserve">. This is a fun and educational activity that simulates decision making under conditions of uncertainty amidst time constraints. </w:t>
      </w:r>
    </w:p>
    <w:p w14:paraId="54C20936" w14:textId="77777777" w:rsidR="00A0558B" w:rsidRPr="00DE57ED" w:rsidRDefault="00A0558B" w:rsidP="006F10B2">
      <w:pPr>
        <w:spacing w:line="276" w:lineRule="auto"/>
        <w:rPr>
          <w:rFonts w:asciiTheme="minorHAnsi" w:hAnsiTheme="minorHAnsi" w:cstheme="minorHAnsi"/>
          <w:sz w:val="22"/>
          <w:szCs w:val="22"/>
        </w:rPr>
      </w:pPr>
    </w:p>
    <w:p w14:paraId="32E83A21"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b/>
          <w:sz w:val="22"/>
          <w:szCs w:val="22"/>
        </w:rPr>
        <w:t>Media Monitoring Reports:</w:t>
      </w:r>
      <w:r w:rsidRPr="00DE57ED">
        <w:rPr>
          <w:rFonts w:asciiTheme="minorHAnsi" w:hAnsiTheme="minorHAnsi" w:cstheme="minorHAnsi"/>
          <w:sz w:val="22"/>
          <w:szCs w:val="22"/>
        </w:rPr>
        <w:t xml:space="preserve"> </w:t>
      </w:r>
      <w:r w:rsidRPr="00DE57ED">
        <w:rPr>
          <w:rFonts w:asciiTheme="minorHAnsi" w:hAnsiTheme="minorHAnsi" w:cstheme="minorHAnsi"/>
          <w:sz w:val="22"/>
          <w:szCs w:val="22"/>
        </w:rPr>
        <w:br/>
        <w:t>This semester each student will produce two “case studies” of the news media surrounding an historical event</w:t>
      </w:r>
      <w:r w:rsidR="00D80E40">
        <w:rPr>
          <w:rFonts w:asciiTheme="minorHAnsi" w:hAnsiTheme="minorHAnsi" w:cstheme="minorHAnsi"/>
          <w:sz w:val="22"/>
          <w:szCs w:val="22"/>
        </w:rPr>
        <w:t xml:space="preserve">. </w:t>
      </w:r>
      <w:r w:rsidRPr="00DE57ED">
        <w:rPr>
          <w:rFonts w:asciiTheme="minorHAnsi" w:hAnsiTheme="minorHAnsi" w:cstheme="minorHAnsi"/>
          <w:sz w:val="22"/>
          <w:szCs w:val="22"/>
        </w:rPr>
        <w:t xml:space="preserve">These short papers use media monitoring techniques to </w:t>
      </w:r>
      <w:r w:rsidR="00E229A9">
        <w:rPr>
          <w:rFonts w:asciiTheme="minorHAnsi" w:hAnsiTheme="minorHAnsi" w:cstheme="minorHAnsi"/>
          <w:sz w:val="22"/>
          <w:szCs w:val="22"/>
        </w:rPr>
        <w:t>investigate</w:t>
      </w:r>
      <w:r w:rsidRPr="00DE57ED">
        <w:rPr>
          <w:rFonts w:asciiTheme="minorHAnsi" w:hAnsiTheme="minorHAnsi" w:cstheme="minorHAnsi"/>
          <w:sz w:val="22"/>
          <w:szCs w:val="22"/>
        </w:rPr>
        <w:t xml:space="preserve"> communication issues. These papers follow a problem/solution organizational pattern, as students identify communication problems that contributed to the crisis and posit work-arounds and solutions using other examples. Each report is two to four pages and must contain citations, to be uploaded to Blackboard. Key findings will be informally presented and discussed in class.</w:t>
      </w:r>
    </w:p>
    <w:p w14:paraId="120AD1D8" w14:textId="77777777" w:rsidR="00A0558B" w:rsidRPr="00DE57ED" w:rsidRDefault="00A0558B" w:rsidP="00B50FFA">
      <w:pPr>
        <w:spacing w:line="276" w:lineRule="auto"/>
        <w:rPr>
          <w:rFonts w:asciiTheme="minorHAnsi" w:hAnsiTheme="minorHAnsi" w:cstheme="minorHAnsi"/>
          <w:sz w:val="22"/>
          <w:szCs w:val="22"/>
          <w:u w:val="single"/>
        </w:rPr>
      </w:pPr>
    </w:p>
    <w:p w14:paraId="4420F461" w14:textId="77777777" w:rsidR="00A0558B" w:rsidRPr="00DE57ED" w:rsidRDefault="00A0558B" w:rsidP="00B50FF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Blackboard Discussion Board:</w:t>
      </w:r>
    </w:p>
    <w:p w14:paraId="3F4C0DD2"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Each week you post, at minimum, </w:t>
      </w:r>
      <w:r w:rsidRPr="00E229A9">
        <w:rPr>
          <w:rFonts w:asciiTheme="minorHAnsi" w:hAnsiTheme="minorHAnsi" w:cstheme="minorHAnsi"/>
          <w:sz w:val="22"/>
          <w:szCs w:val="22"/>
        </w:rPr>
        <w:t>one Discussion Thread (and three responses to other’s threads) on the Blackboard Discussion Board.</w:t>
      </w:r>
      <w:r w:rsidRPr="00DE57ED">
        <w:rPr>
          <w:rFonts w:asciiTheme="minorHAnsi" w:hAnsiTheme="minorHAnsi" w:cstheme="minorHAnsi"/>
          <w:sz w:val="22"/>
          <w:szCs w:val="22"/>
        </w:rPr>
        <w:t xml:space="preserve"> Your thread will be in response to weekly questions posed by the instructor, and you should incorporate examples from the weekly readings. </w:t>
      </w:r>
    </w:p>
    <w:p w14:paraId="63BB104C" w14:textId="77777777" w:rsidR="00A0558B" w:rsidRPr="00DE57ED" w:rsidRDefault="00A0558B" w:rsidP="00B50FFA">
      <w:pPr>
        <w:spacing w:line="276" w:lineRule="auto"/>
        <w:rPr>
          <w:rFonts w:asciiTheme="minorHAnsi" w:hAnsiTheme="minorHAnsi" w:cstheme="minorHAnsi"/>
          <w:sz w:val="22"/>
          <w:szCs w:val="22"/>
        </w:rPr>
      </w:pPr>
    </w:p>
    <w:p w14:paraId="1A6D19BD" w14:textId="77777777" w:rsidR="00A0558B" w:rsidRPr="00DE57ED" w:rsidRDefault="00A0558B" w:rsidP="00B50FF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FINAL ASSIGNMENTS (</w:t>
      </w:r>
      <w:proofErr w:type="gramStart"/>
      <w:r w:rsidRPr="00DE57ED">
        <w:rPr>
          <w:rFonts w:asciiTheme="minorHAnsi" w:hAnsiTheme="minorHAnsi" w:cstheme="minorHAnsi"/>
          <w:b/>
          <w:sz w:val="22"/>
          <w:szCs w:val="22"/>
        </w:rPr>
        <w:t>7-10 page</w:t>
      </w:r>
      <w:proofErr w:type="gramEnd"/>
      <w:r w:rsidRPr="00DE57ED">
        <w:rPr>
          <w:rFonts w:asciiTheme="minorHAnsi" w:hAnsiTheme="minorHAnsi" w:cstheme="minorHAnsi"/>
          <w:b/>
          <w:sz w:val="22"/>
          <w:szCs w:val="22"/>
        </w:rPr>
        <w:t xml:space="preserve"> paper and 7-10 minute oral presentation)</w:t>
      </w:r>
    </w:p>
    <w:p w14:paraId="6681313D"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We choose final assignments about mid-term and work on them in the second half of the course. The final project is a chance to apply concepts and procedures studied. All final assignments require research and citations. Each choice requires a 7-10 page typed (double-spaced) </w:t>
      </w:r>
      <w:r w:rsidRPr="00DE57ED">
        <w:rPr>
          <w:rFonts w:asciiTheme="minorHAnsi" w:hAnsiTheme="minorHAnsi" w:cstheme="minorHAnsi"/>
          <w:sz w:val="22"/>
          <w:szCs w:val="22"/>
          <w:u w:val="single"/>
        </w:rPr>
        <w:t>final paper</w:t>
      </w:r>
      <w:r w:rsidRPr="00DE57ED">
        <w:rPr>
          <w:rFonts w:asciiTheme="minorHAnsi" w:hAnsiTheme="minorHAnsi" w:cstheme="minorHAnsi"/>
          <w:sz w:val="22"/>
          <w:szCs w:val="22"/>
        </w:rPr>
        <w:t xml:space="preserve"> (to be uploaded on Blackboard) as well as a 7 to 10 minutes </w:t>
      </w:r>
      <w:r w:rsidRPr="00DE57ED">
        <w:rPr>
          <w:rFonts w:asciiTheme="minorHAnsi" w:hAnsiTheme="minorHAnsi" w:cstheme="minorHAnsi"/>
          <w:sz w:val="22"/>
          <w:szCs w:val="22"/>
          <w:u w:val="single"/>
        </w:rPr>
        <w:t>in-class oral presentation</w:t>
      </w:r>
      <w:r w:rsidRPr="00DE57ED">
        <w:rPr>
          <w:rFonts w:asciiTheme="minorHAnsi" w:hAnsiTheme="minorHAnsi" w:cstheme="minorHAnsi"/>
          <w:sz w:val="22"/>
          <w:szCs w:val="22"/>
        </w:rPr>
        <w:t xml:space="preserve"> with charts, graphs and other visual aids. You have a choice for your final assignment. Please choose </w:t>
      </w:r>
      <w:r w:rsidRPr="00DE57ED">
        <w:rPr>
          <w:rFonts w:asciiTheme="minorHAnsi" w:hAnsiTheme="minorHAnsi" w:cstheme="minorHAnsi"/>
          <w:sz w:val="22"/>
          <w:szCs w:val="22"/>
          <w:u w:val="single"/>
        </w:rPr>
        <w:t>only one</w:t>
      </w:r>
      <w:r w:rsidRPr="00DE57ED">
        <w:rPr>
          <w:rFonts w:asciiTheme="minorHAnsi" w:hAnsiTheme="minorHAnsi" w:cstheme="minorHAnsi"/>
          <w:sz w:val="22"/>
          <w:szCs w:val="22"/>
        </w:rPr>
        <w:t xml:space="preserve"> of the</w:t>
      </w:r>
      <w:r w:rsidR="00D80E40">
        <w:rPr>
          <w:rFonts w:asciiTheme="minorHAnsi" w:hAnsiTheme="minorHAnsi" w:cstheme="minorHAnsi"/>
          <w:sz w:val="22"/>
          <w:szCs w:val="22"/>
        </w:rPr>
        <w:t xml:space="preserve"> three</w:t>
      </w:r>
      <w:r w:rsidRPr="00DE57ED">
        <w:rPr>
          <w:rFonts w:asciiTheme="minorHAnsi" w:hAnsiTheme="minorHAnsi" w:cstheme="minorHAnsi"/>
          <w:sz w:val="22"/>
          <w:szCs w:val="22"/>
        </w:rPr>
        <w:t xml:space="preserve"> choices below: </w:t>
      </w:r>
    </w:p>
    <w:p w14:paraId="054AD93D" w14:textId="77777777" w:rsidR="00A0558B" w:rsidRPr="00DE57ED" w:rsidRDefault="00A0558B" w:rsidP="00B50FFA">
      <w:pPr>
        <w:spacing w:line="276" w:lineRule="auto"/>
        <w:rPr>
          <w:rFonts w:asciiTheme="minorHAnsi" w:hAnsiTheme="minorHAnsi" w:cstheme="minorHAnsi"/>
          <w:sz w:val="22"/>
          <w:szCs w:val="22"/>
        </w:rPr>
      </w:pPr>
    </w:p>
    <w:p w14:paraId="237CB81A" w14:textId="77777777" w:rsidR="00A0558B" w:rsidRPr="00DE57ED" w:rsidRDefault="00A0558B" w:rsidP="00AD49C8">
      <w:pPr>
        <w:numPr>
          <w:ilvl w:val="0"/>
          <w:numId w:val="26"/>
        </w:numPr>
        <w:spacing w:line="276" w:lineRule="auto"/>
        <w:rPr>
          <w:rFonts w:asciiTheme="minorHAnsi" w:hAnsiTheme="minorHAnsi" w:cstheme="minorHAnsi"/>
          <w:sz w:val="22"/>
          <w:szCs w:val="22"/>
        </w:rPr>
      </w:pPr>
      <w:r w:rsidRPr="00DE57ED">
        <w:rPr>
          <w:rFonts w:asciiTheme="minorHAnsi" w:hAnsiTheme="minorHAnsi" w:cstheme="minorHAnsi"/>
          <w:sz w:val="22"/>
          <w:szCs w:val="22"/>
          <w:u w:val="single"/>
        </w:rPr>
        <w:t>Communication Surveillance Report (CSR):</w:t>
      </w:r>
      <w:r w:rsidRPr="00DE57ED">
        <w:rPr>
          <w:rFonts w:asciiTheme="minorHAnsi" w:hAnsiTheme="minorHAnsi" w:cstheme="minorHAnsi"/>
          <w:i/>
          <w:sz w:val="22"/>
          <w:szCs w:val="22"/>
        </w:rPr>
        <w:t xml:space="preserve"> </w:t>
      </w:r>
      <w:r w:rsidRPr="00DE57ED">
        <w:rPr>
          <w:rFonts w:asciiTheme="minorHAnsi" w:hAnsiTheme="minorHAnsi" w:cstheme="minorHAnsi"/>
          <w:sz w:val="22"/>
          <w:szCs w:val="22"/>
        </w:rPr>
        <w:t xml:space="preserve">This is similar to the Media Monitoring Report but goes into greater depth to portray the communication environment surrounding an emergency or other public health issue. CSRs </w:t>
      </w:r>
      <w:r w:rsidR="00D80E40">
        <w:rPr>
          <w:rFonts w:asciiTheme="minorHAnsi" w:hAnsiTheme="minorHAnsi" w:cstheme="minorHAnsi"/>
          <w:sz w:val="22"/>
          <w:szCs w:val="22"/>
        </w:rPr>
        <w:t>help</w:t>
      </w:r>
      <w:r w:rsidRPr="00DE57ED">
        <w:rPr>
          <w:rFonts w:asciiTheme="minorHAnsi" w:hAnsiTheme="minorHAnsi" w:cstheme="minorHAnsi"/>
          <w:sz w:val="22"/>
          <w:szCs w:val="22"/>
        </w:rPr>
        <w:t xml:space="preserve"> incident commanders understand public response to an event. </w:t>
      </w:r>
      <w:r w:rsidR="00D80E40">
        <w:rPr>
          <w:rFonts w:asciiTheme="minorHAnsi" w:hAnsiTheme="minorHAnsi" w:cstheme="minorHAnsi"/>
          <w:sz w:val="22"/>
          <w:szCs w:val="22"/>
        </w:rPr>
        <w:t>T</w:t>
      </w:r>
      <w:r w:rsidRPr="00DE57ED">
        <w:rPr>
          <w:rFonts w:asciiTheme="minorHAnsi" w:hAnsiTheme="minorHAnsi" w:cstheme="minorHAnsi"/>
          <w:sz w:val="22"/>
          <w:szCs w:val="22"/>
        </w:rPr>
        <w:t xml:space="preserve">he CSR author collects </w:t>
      </w:r>
      <w:r w:rsidR="00D80E40">
        <w:rPr>
          <w:rFonts w:asciiTheme="minorHAnsi" w:hAnsiTheme="minorHAnsi" w:cstheme="minorHAnsi"/>
          <w:sz w:val="22"/>
          <w:szCs w:val="22"/>
        </w:rPr>
        <w:t>metrics</w:t>
      </w:r>
      <w:r w:rsidRPr="00DE57ED">
        <w:rPr>
          <w:rFonts w:asciiTheme="minorHAnsi" w:hAnsiTheme="minorHAnsi" w:cstheme="minorHAnsi"/>
          <w:sz w:val="22"/>
          <w:szCs w:val="22"/>
        </w:rPr>
        <w:t xml:space="preserve"> of </w:t>
      </w:r>
      <w:r w:rsidR="00D80E40">
        <w:rPr>
          <w:rFonts w:asciiTheme="minorHAnsi" w:hAnsiTheme="minorHAnsi" w:cstheme="minorHAnsi"/>
          <w:sz w:val="22"/>
          <w:szCs w:val="22"/>
        </w:rPr>
        <w:t>news stories and</w:t>
      </w:r>
      <w:r w:rsidRPr="00DE57ED">
        <w:rPr>
          <w:rFonts w:asciiTheme="minorHAnsi" w:hAnsiTheme="minorHAnsi" w:cstheme="minorHAnsi"/>
          <w:sz w:val="22"/>
          <w:szCs w:val="22"/>
        </w:rPr>
        <w:t xml:space="preserve"> social media </w:t>
      </w:r>
      <w:r w:rsidR="00D80E40">
        <w:rPr>
          <w:rFonts w:asciiTheme="minorHAnsi" w:hAnsiTheme="minorHAnsi" w:cstheme="minorHAnsi"/>
          <w:sz w:val="22"/>
          <w:szCs w:val="22"/>
        </w:rPr>
        <w:t xml:space="preserve">mentions, highlighting </w:t>
      </w:r>
      <w:r w:rsidRPr="00DE57ED">
        <w:rPr>
          <w:rFonts w:asciiTheme="minorHAnsi" w:hAnsiTheme="minorHAnsi" w:cstheme="minorHAnsi"/>
          <w:sz w:val="22"/>
          <w:szCs w:val="22"/>
        </w:rPr>
        <w:t>words and themes. Your report should be closely modelled after sample CSRs provided. For the presentation, your findings are presented in charts and graphs. I also encourage you to pose a few discussion questions to the class. (</w:t>
      </w:r>
      <w:proofErr w:type="gramStart"/>
      <w:r w:rsidRPr="00DE57ED">
        <w:rPr>
          <w:rFonts w:asciiTheme="minorHAnsi" w:hAnsiTheme="minorHAnsi" w:cstheme="minorHAnsi"/>
          <w:sz w:val="22"/>
          <w:szCs w:val="22"/>
        </w:rPr>
        <w:t>7-10 page</w:t>
      </w:r>
      <w:proofErr w:type="gramEnd"/>
      <w:r w:rsidRPr="00DE57ED">
        <w:rPr>
          <w:rFonts w:asciiTheme="minorHAnsi" w:hAnsiTheme="minorHAnsi" w:cstheme="minorHAnsi"/>
          <w:sz w:val="22"/>
          <w:szCs w:val="22"/>
        </w:rPr>
        <w:t xml:space="preserve"> paper and 7-10 minute oral presentation)</w:t>
      </w:r>
    </w:p>
    <w:p w14:paraId="02AF871B" w14:textId="77777777" w:rsidR="00A0558B" w:rsidRPr="00DE57ED" w:rsidRDefault="00A0558B" w:rsidP="00B50FFA">
      <w:pPr>
        <w:spacing w:line="276" w:lineRule="auto"/>
        <w:ind w:firstLine="720"/>
        <w:rPr>
          <w:rFonts w:asciiTheme="minorHAnsi" w:hAnsiTheme="minorHAnsi" w:cstheme="minorHAnsi"/>
          <w:sz w:val="22"/>
          <w:szCs w:val="22"/>
        </w:rPr>
      </w:pPr>
    </w:p>
    <w:p w14:paraId="22DEB921" w14:textId="77777777" w:rsidR="00A0558B" w:rsidRPr="00DE57ED" w:rsidRDefault="00A0558B" w:rsidP="006268C2">
      <w:pPr>
        <w:numPr>
          <w:ilvl w:val="0"/>
          <w:numId w:val="26"/>
        </w:numPr>
        <w:spacing w:line="276" w:lineRule="auto"/>
        <w:rPr>
          <w:rFonts w:asciiTheme="minorHAnsi" w:hAnsiTheme="minorHAnsi" w:cstheme="minorHAnsi"/>
          <w:sz w:val="22"/>
          <w:szCs w:val="22"/>
        </w:rPr>
      </w:pPr>
      <w:r w:rsidRPr="00DE57ED">
        <w:rPr>
          <w:rFonts w:asciiTheme="minorHAnsi" w:hAnsiTheme="minorHAnsi" w:cstheme="minorHAnsi"/>
          <w:sz w:val="22"/>
          <w:szCs w:val="22"/>
          <w:u w:val="single"/>
        </w:rPr>
        <w:t>Apply the CERC Principles:</w:t>
      </w:r>
      <w:r w:rsidRPr="00DE57ED">
        <w:rPr>
          <w:rFonts w:asciiTheme="minorHAnsi" w:hAnsiTheme="minorHAnsi" w:cstheme="minorHAnsi"/>
          <w:i/>
          <w:sz w:val="22"/>
          <w:szCs w:val="22"/>
        </w:rPr>
        <w:t xml:space="preserve"> </w:t>
      </w:r>
      <w:r w:rsidRPr="00DE57ED">
        <w:rPr>
          <w:rFonts w:asciiTheme="minorHAnsi" w:hAnsiTheme="minorHAnsi" w:cstheme="minorHAnsi"/>
          <w:sz w:val="22"/>
          <w:szCs w:val="22"/>
        </w:rPr>
        <w:t xml:space="preserve">This is similar to the above in that you expand in greater detail on one of the events profiled in your </w:t>
      </w:r>
      <w:r w:rsidR="00D80E40">
        <w:rPr>
          <w:rFonts w:asciiTheme="minorHAnsi" w:hAnsiTheme="minorHAnsi" w:cstheme="minorHAnsi"/>
          <w:sz w:val="22"/>
          <w:szCs w:val="22"/>
        </w:rPr>
        <w:t>Media Monitoring Report</w:t>
      </w:r>
      <w:r w:rsidR="00E229A9">
        <w:rPr>
          <w:rFonts w:asciiTheme="minorHAnsi" w:hAnsiTheme="minorHAnsi" w:cstheme="minorHAnsi"/>
          <w:sz w:val="22"/>
          <w:szCs w:val="22"/>
        </w:rPr>
        <w:t>, focusing</w:t>
      </w:r>
      <w:r w:rsidRPr="00DE57ED">
        <w:rPr>
          <w:rFonts w:asciiTheme="minorHAnsi" w:hAnsiTheme="minorHAnsi" w:cstheme="minorHAnsi"/>
          <w:sz w:val="22"/>
          <w:szCs w:val="22"/>
        </w:rPr>
        <w:t xml:space="preserve"> on how public health and other officials adhered to CERC Principles</w:t>
      </w:r>
      <w:r w:rsidR="00E229A9">
        <w:rPr>
          <w:rFonts w:asciiTheme="minorHAnsi" w:hAnsiTheme="minorHAnsi" w:cstheme="minorHAnsi"/>
          <w:sz w:val="22"/>
          <w:szCs w:val="22"/>
        </w:rPr>
        <w:t xml:space="preserve">. </w:t>
      </w:r>
      <w:r w:rsidRPr="00DE57ED">
        <w:rPr>
          <w:rFonts w:asciiTheme="minorHAnsi" w:hAnsiTheme="minorHAnsi" w:cstheme="minorHAnsi"/>
          <w:sz w:val="22"/>
          <w:szCs w:val="22"/>
        </w:rPr>
        <w:t>In the event that incident commanders fell short in applying the principles, what are your strategies for meeting them more effectively? Your presentation should include a succinct summary of the key figures and leader in this event, and a critique or evaluative response. I also encourage you to pose a few discussion questions to the class. (</w:t>
      </w:r>
      <w:proofErr w:type="gramStart"/>
      <w:r w:rsidRPr="00DE57ED">
        <w:rPr>
          <w:rFonts w:asciiTheme="minorHAnsi" w:hAnsiTheme="minorHAnsi" w:cstheme="minorHAnsi"/>
          <w:sz w:val="22"/>
          <w:szCs w:val="22"/>
        </w:rPr>
        <w:t>7-10 page</w:t>
      </w:r>
      <w:proofErr w:type="gramEnd"/>
      <w:r w:rsidRPr="00DE57ED">
        <w:rPr>
          <w:rFonts w:asciiTheme="minorHAnsi" w:hAnsiTheme="minorHAnsi" w:cstheme="minorHAnsi"/>
          <w:sz w:val="22"/>
          <w:szCs w:val="22"/>
        </w:rPr>
        <w:t xml:space="preserve"> paper and 7-10 minute oral presentation)</w:t>
      </w:r>
    </w:p>
    <w:p w14:paraId="5570E1CF" w14:textId="77777777" w:rsidR="00A0558B" w:rsidRPr="00DE57ED" w:rsidRDefault="00A0558B" w:rsidP="00560046">
      <w:pPr>
        <w:spacing w:line="276" w:lineRule="auto"/>
        <w:ind w:left="360"/>
        <w:rPr>
          <w:rFonts w:asciiTheme="minorHAnsi" w:hAnsiTheme="minorHAnsi" w:cstheme="minorHAnsi"/>
          <w:sz w:val="22"/>
          <w:szCs w:val="22"/>
        </w:rPr>
      </w:pPr>
    </w:p>
    <w:p w14:paraId="6693A33B" w14:textId="77777777" w:rsidR="00A0558B" w:rsidRPr="00DE57ED" w:rsidRDefault="00A0558B" w:rsidP="00924D1D">
      <w:pPr>
        <w:numPr>
          <w:ilvl w:val="0"/>
          <w:numId w:val="26"/>
        </w:numPr>
        <w:spacing w:line="276" w:lineRule="auto"/>
        <w:rPr>
          <w:rFonts w:asciiTheme="minorHAnsi" w:hAnsiTheme="minorHAnsi" w:cstheme="minorHAnsi"/>
          <w:sz w:val="22"/>
          <w:szCs w:val="22"/>
        </w:rPr>
      </w:pPr>
      <w:r w:rsidRPr="00DE57ED">
        <w:rPr>
          <w:rFonts w:asciiTheme="minorHAnsi" w:hAnsiTheme="minorHAnsi" w:cstheme="minorHAnsi"/>
          <w:sz w:val="22"/>
          <w:szCs w:val="22"/>
          <w:u w:val="single"/>
        </w:rPr>
        <w:lastRenderedPageBreak/>
        <w:t>Design an Emergency Response Plan:</w:t>
      </w:r>
      <w:r w:rsidRPr="00DE57ED">
        <w:rPr>
          <w:rFonts w:asciiTheme="minorHAnsi" w:hAnsiTheme="minorHAnsi" w:cstheme="minorHAnsi"/>
          <w:sz w:val="22"/>
          <w:szCs w:val="22"/>
        </w:rPr>
        <w:t xml:space="preserve"> This assignment gives you the chance carefully plan for an emergency for your organization or your family. Students address </w:t>
      </w:r>
      <w:r w:rsidR="00E229A9">
        <w:rPr>
          <w:rFonts w:asciiTheme="minorHAnsi" w:hAnsiTheme="minorHAnsi" w:cstheme="minorHAnsi"/>
          <w:sz w:val="22"/>
          <w:szCs w:val="22"/>
        </w:rPr>
        <w:t xml:space="preserve">risks to health and safety </w:t>
      </w:r>
      <w:r w:rsidRPr="00DE57ED">
        <w:rPr>
          <w:rFonts w:asciiTheme="minorHAnsi" w:hAnsiTheme="minorHAnsi" w:cstheme="minorHAnsi"/>
          <w:sz w:val="22"/>
          <w:szCs w:val="22"/>
        </w:rPr>
        <w:t xml:space="preserve">using the OSHA Emergency Action Plan </w:t>
      </w:r>
      <w:hyperlink r:id="rId8" w:history="1">
        <w:r w:rsidRPr="00DE57ED">
          <w:rPr>
            <w:rStyle w:val="Hyperlink"/>
            <w:rFonts w:asciiTheme="minorHAnsi" w:hAnsiTheme="minorHAnsi" w:cstheme="minorHAnsi"/>
            <w:sz w:val="22"/>
            <w:szCs w:val="22"/>
          </w:rPr>
          <w:t>checklist</w:t>
        </w:r>
      </w:hyperlink>
      <w:r w:rsidRPr="00DE57ED">
        <w:rPr>
          <w:rFonts w:asciiTheme="minorHAnsi" w:hAnsiTheme="minorHAnsi" w:cstheme="minorHAnsi"/>
          <w:sz w:val="22"/>
          <w:szCs w:val="22"/>
        </w:rPr>
        <w:t xml:space="preserve"> and other resources. Your paper and presentation should be staged, step-by-step. Try to anticipate and address other contingencies in the event of a disaster or emergency. I also encourage you to pose a few discussion questions to the class. (</w:t>
      </w:r>
      <w:proofErr w:type="gramStart"/>
      <w:r w:rsidRPr="00DE57ED">
        <w:rPr>
          <w:rFonts w:asciiTheme="minorHAnsi" w:hAnsiTheme="minorHAnsi" w:cstheme="minorHAnsi"/>
          <w:sz w:val="22"/>
          <w:szCs w:val="22"/>
        </w:rPr>
        <w:t>7-10 page</w:t>
      </w:r>
      <w:proofErr w:type="gramEnd"/>
      <w:r w:rsidRPr="00DE57ED">
        <w:rPr>
          <w:rFonts w:asciiTheme="minorHAnsi" w:hAnsiTheme="minorHAnsi" w:cstheme="minorHAnsi"/>
          <w:sz w:val="22"/>
          <w:szCs w:val="22"/>
        </w:rPr>
        <w:t xml:space="preserve"> paper and 7-10 minute oral presentation)</w:t>
      </w:r>
    </w:p>
    <w:p w14:paraId="48E9F0E4" w14:textId="77777777" w:rsidR="00A0558B" w:rsidRPr="00DE57ED" w:rsidRDefault="00A0558B" w:rsidP="00B50FFA">
      <w:pPr>
        <w:spacing w:line="276" w:lineRule="auto"/>
        <w:rPr>
          <w:rFonts w:asciiTheme="minorHAnsi" w:hAnsiTheme="minorHAnsi" w:cstheme="minorHAnsi"/>
          <w:sz w:val="22"/>
          <w:szCs w:val="22"/>
        </w:rPr>
      </w:pPr>
    </w:p>
    <w:p w14:paraId="51CB283A"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NOTE: a one-page description of your final </w:t>
      </w:r>
      <w:r w:rsidR="00D76CFC" w:rsidRPr="00DE57ED">
        <w:rPr>
          <w:rFonts w:asciiTheme="minorHAnsi" w:hAnsiTheme="minorHAnsi" w:cstheme="minorHAnsi"/>
          <w:sz w:val="22"/>
          <w:szCs w:val="22"/>
        </w:rPr>
        <w:t xml:space="preserve">is </w:t>
      </w:r>
      <w:r w:rsidRPr="00DE57ED">
        <w:rPr>
          <w:rFonts w:asciiTheme="minorHAnsi" w:hAnsiTheme="minorHAnsi" w:cstheme="minorHAnsi"/>
          <w:sz w:val="22"/>
          <w:szCs w:val="22"/>
        </w:rPr>
        <w:t>due mid-term.</w:t>
      </w:r>
    </w:p>
    <w:p w14:paraId="79D32B42" w14:textId="77777777" w:rsidR="00A0558B" w:rsidRPr="00DE57ED" w:rsidRDefault="00A0558B" w:rsidP="00B50FFA">
      <w:pPr>
        <w:spacing w:line="276" w:lineRule="auto"/>
        <w:rPr>
          <w:rFonts w:asciiTheme="minorHAnsi" w:hAnsiTheme="minorHAnsi" w:cstheme="minorHAnsi"/>
          <w:b/>
          <w:sz w:val="22"/>
          <w:szCs w:val="22"/>
        </w:rPr>
      </w:pPr>
    </w:p>
    <w:p w14:paraId="352F7C49" w14:textId="77777777" w:rsidR="00A0558B" w:rsidRPr="00DE57ED" w:rsidRDefault="00A0558B" w:rsidP="008D03B2">
      <w:pPr>
        <w:spacing w:line="276" w:lineRule="auto"/>
        <w:rPr>
          <w:rFonts w:asciiTheme="minorHAnsi" w:hAnsiTheme="minorHAnsi" w:cstheme="minorHAnsi"/>
          <w:sz w:val="22"/>
          <w:szCs w:val="22"/>
          <w:u w:val="single"/>
        </w:rPr>
      </w:pPr>
      <w:r w:rsidRPr="00DE57ED">
        <w:rPr>
          <w:rFonts w:asciiTheme="minorHAnsi" w:hAnsiTheme="minorHAnsi" w:cstheme="minorHAnsi"/>
          <w:sz w:val="22"/>
          <w:szCs w:val="22"/>
          <w:u w:val="single"/>
        </w:rPr>
        <w:t xml:space="preserve">Grading:  </w:t>
      </w:r>
    </w:p>
    <w:p w14:paraId="79BFD95A" w14:textId="77777777" w:rsidR="00A0558B" w:rsidRPr="00DE57ED"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Simulated Crisis Response</w:t>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00E229A9">
        <w:rPr>
          <w:rFonts w:asciiTheme="minorHAnsi" w:hAnsiTheme="minorHAnsi" w:cstheme="minorHAnsi"/>
          <w:sz w:val="22"/>
          <w:szCs w:val="22"/>
        </w:rPr>
        <w:t xml:space="preserve">       </w:t>
      </w:r>
      <w:r w:rsidRPr="00DE57ED">
        <w:rPr>
          <w:rFonts w:asciiTheme="minorHAnsi" w:hAnsiTheme="minorHAnsi" w:cstheme="minorHAnsi"/>
          <w:sz w:val="22"/>
          <w:szCs w:val="22"/>
        </w:rPr>
        <w:t>15%</w:t>
      </w:r>
    </w:p>
    <w:p w14:paraId="500253EC" w14:textId="77777777" w:rsidR="00A0558B" w:rsidRPr="00DE57ED"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Media Monitoring Reports</w:t>
      </w:r>
      <w:r w:rsidRPr="00DE57ED">
        <w:rPr>
          <w:rFonts w:asciiTheme="minorHAnsi" w:hAnsiTheme="minorHAnsi" w:cstheme="minorHAnsi"/>
          <w:sz w:val="22"/>
          <w:szCs w:val="22"/>
        </w:rPr>
        <w:tab/>
      </w:r>
      <w:r w:rsidR="00E229A9">
        <w:rPr>
          <w:rFonts w:asciiTheme="minorHAnsi" w:hAnsiTheme="minorHAnsi" w:cstheme="minorHAnsi"/>
          <w:sz w:val="22"/>
          <w:szCs w:val="22"/>
        </w:rPr>
        <w:tab/>
      </w:r>
      <w:r w:rsidRPr="00DE57ED">
        <w:rPr>
          <w:rFonts w:asciiTheme="minorHAnsi" w:hAnsiTheme="minorHAnsi" w:cstheme="minorHAnsi"/>
          <w:sz w:val="22"/>
          <w:szCs w:val="22"/>
        </w:rPr>
        <w:t>1</w:t>
      </w:r>
      <w:r w:rsidR="00E229A9">
        <w:rPr>
          <w:rFonts w:asciiTheme="minorHAnsi" w:hAnsiTheme="minorHAnsi" w:cstheme="minorHAnsi"/>
          <w:sz w:val="22"/>
          <w:szCs w:val="22"/>
        </w:rPr>
        <w:t>5</w:t>
      </w:r>
      <w:r w:rsidRPr="00DE57ED">
        <w:rPr>
          <w:rFonts w:asciiTheme="minorHAnsi" w:hAnsiTheme="minorHAnsi" w:cstheme="minorHAnsi"/>
          <w:sz w:val="22"/>
          <w:szCs w:val="22"/>
        </w:rPr>
        <w:t xml:space="preserve">% each = </w:t>
      </w:r>
      <w:r w:rsidR="00E229A9">
        <w:rPr>
          <w:rFonts w:asciiTheme="minorHAnsi" w:hAnsiTheme="minorHAnsi" w:cstheme="minorHAnsi"/>
          <w:sz w:val="22"/>
          <w:szCs w:val="22"/>
        </w:rPr>
        <w:t>3</w:t>
      </w:r>
      <w:r w:rsidRPr="00DE57ED">
        <w:rPr>
          <w:rFonts w:asciiTheme="minorHAnsi" w:hAnsiTheme="minorHAnsi" w:cstheme="minorHAnsi"/>
          <w:sz w:val="22"/>
          <w:szCs w:val="22"/>
        </w:rPr>
        <w:t>0%</w:t>
      </w:r>
    </w:p>
    <w:p w14:paraId="045A52E3" w14:textId="77777777" w:rsidR="00A0558B" w:rsidRPr="00DE57ED"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Blackboard Discussion Board</w:t>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00E229A9">
        <w:rPr>
          <w:rFonts w:asciiTheme="minorHAnsi" w:hAnsiTheme="minorHAnsi" w:cstheme="minorHAnsi"/>
          <w:sz w:val="22"/>
          <w:szCs w:val="22"/>
        </w:rPr>
        <w:t xml:space="preserve">       </w:t>
      </w:r>
      <w:r w:rsidRPr="00DE57ED">
        <w:rPr>
          <w:rFonts w:asciiTheme="minorHAnsi" w:hAnsiTheme="minorHAnsi" w:cstheme="minorHAnsi"/>
          <w:sz w:val="22"/>
          <w:szCs w:val="22"/>
        </w:rPr>
        <w:t>15%</w:t>
      </w:r>
    </w:p>
    <w:p w14:paraId="182A9340" w14:textId="77777777" w:rsidR="00A0558B" w:rsidRPr="00DE57ED"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Final Assignment, your choice of EITHER</w:t>
      </w:r>
    </w:p>
    <w:p w14:paraId="345FCE59" w14:textId="77777777" w:rsidR="00A0558B" w:rsidRPr="00DE57ED" w:rsidRDefault="00A0558B" w:rsidP="008D03B2">
      <w:pPr>
        <w:numPr>
          <w:ilvl w:val="0"/>
          <w:numId w:val="24"/>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Communication Surveillance Report</w:t>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p>
    <w:p w14:paraId="5A7C0CD7" w14:textId="77777777" w:rsidR="00A0558B" w:rsidRPr="00DE57ED" w:rsidRDefault="00A0558B" w:rsidP="008D03B2">
      <w:pPr>
        <w:numPr>
          <w:ilvl w:val="0"/>
          <w:numId w:val="24"/>
        </w:numPr>
        <w:spacing w:line="276" w:lineRule="auto"/>
        <w:rPr>
          <w:rFonts w:asciiTheme="minorHAnsi" w:hAnsiTheme="minorHAnsi" w:cstheme="minorHAnsi"/>
          <w:sz w:val="22"/>
          <w:szCs w:val="22"/>
        </w:rPr>
      </w:pPr>
      <w:r w:rsidRPr="00DE57ED">
        <w:rPr>
          <w:rFonts w:asciiTheme="minorHAnsi" w:hAnsiTheme="minorHAnsi" w:cstheme="minorHAnsi"/>
          <w:sz w:val="22"/>
          <w:szCs w:val="22"/>
        </w:rPr>
        <w:t>Applying CERC Principles</w:t>
      </w:r>
    </w:p>
    <w:p w14:paraId="64056C25" w14:textId="77777777" w:rsidR="00A0558B" w:rsidRPr="00DE57ED" w:rsidRDefault="00A0558B" w:rsidP="008D03B2">
      <w:pPr>
        <w:numPr>
          <w:ilvl w:val="0"/>
          <w:numId w:val="24"/>
        </w:numPr>
        <w:spacing w:line="276" w:lineRule="auto"/>
        <w:rPr>
          <w:rFonts w:asciiTheme="minorHAnsi" w:hAnsiTheme="minorHAnsi" w:cstheme="minorHAnsi"/>
          <w:sz w:val="22"/>
          <w:szCs w:val="22"/>
        </w:rPr>
      </w:pPr>
      <w:r w:rsidRPr="00DE57ED">
        <w:rPr>
          <w:rFonts w:asciiTheme="minorHAnsi" w:hAnsiTheme="minorHAnsi" w:cstheme="minorHAnsi"/>
          <w:sz w:val="22"/>
          <w:szCs w:val="22"/>
        </w:rPr>
        <w:t>Emergency Response Plan</w:t>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p>
    <w:p w14:paraId="3F12B1B1" w14:textId="77777777" w:rsidR="00A0558B" w:rsidRPr="00DE57ED" w:rsidRDefault="00A0558B" w:rsidP="008D03B2">
      <w:pPr>
        <w:numPr>
          <w:ilvl w:val="0"/>
          <w:numId w:val="24"/>
        </w:numPr>
        <w:spacing w:line="276" w:lineRule="auto"/>
        <w:rPr>
          <w:rFonts w:asciiTheme="minorHAnsi" w:hAnsiTheme="minorHAnsi" w:cstheme="minorHAnsi"/>
          <w:sz w:val="22"/>
          <w:szCs w:val="22"/>
        </w:rPr>
      </w:pPr>
      <w:r w:rsidRPr="00DE57ED">
        <w:rPr>
          <w:rFonts w:asciiTheme="minorHAnsi" w:hAnsiTheme="minorHAnsi" w:cstheme="minorHAnsi"/>
          <w:sz w:val="22"/>
          <w:szCs w:val="22"/>
        </w:rPr>
        <w:t>Student’s Choice</w:t>
      </w:r>
      <w:r w:rsidRPr="00DE57ED">
        <w:rPr>
          <w:rFonts w:asciiTheme="minorHAnsi" w:hAnsiTheme="minorHAnsi" w:cstheme="minorHAnsi"/>
          <w:sz w:val="22"/>
          <w:szCs w:val="22"/>
        </w:rPr>
        <w:tab/>
      </w:r>
    </w:p>
    <w:p w14:paraId="4B379C81" w14:textId="77777777" w:rsidR="00E229A9"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Paper/Oral Presentation </w:t>
      </w:r>
      <w:r w:rsidRPr="00DE57ED">
        <w:rPr>
          <w:rFonts w:asciiTheme="minorHAnsi" w:hAnsiTheme="minorHAnsi" w:cstheme="minorHAnsi"/>
          <w:sz w:val="22"/>
          <w:szCs w:val="22"/>
        </w:rPr>
        <w:tab/>
      </w:r>
      <w:r w:rsidRPr="00DE57ED">
        <w:rPr>
          <w:rFonts w:asciiTheme="minorHAnsi" w:hAnsiTheme="minorHAnsi" w:cstheme="minorHAnsi"/>
          <w:sz w:val="22"/>
          <w:szCs w:val="22"/>
        </w:rPr>
        <w:tab/>
        <w:t>15%, 15% =30%</w:t>
      </w:r>
      <w:r w:rsidRPr="00DE57ED">
        <w:rPr>
          <w:rFonts w:asciiTheme="minorHAnsi" w:hAnsiTheme="minorHAnsi" w:cstheme="minorHAnsi"/>
          <w:sz w:val="22"/>
          <w:szCs w:val="22"/>
        </w:rPr>
        <w:tab/>
      </w:r>
      <w:r w:rsidRPr="00DE57ED">
        <w:rPr>
          <w:rFonts w:asciiTheme="minorHAnsi" w:hAnsiTheme="minorHAnsi" w:cstheme="minorHAnsi"/>
          <w:sz w:val="22"/>
          <w:szCs w:val="22"/>
        </w:rPr>
        <w:tab/>
      </w:r>
    </w:p>
    <w:p w14:paraId="2F7BEC76" w14:textId="77777777" w:rsidR="00A0558B" w:rsidRPr="00E229A9"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u w:val="single"/>
        </w:rPr>
        <w:t>Class Participation __________________________</w:t>
      </w:r>
      <w:r w:rsidR="00E229A9">
        <w:rPr>
          <w:rFonts w:asciiTheme="minorHAnsi" w:hAnsiTheme="minorHAnsi" w:cstheme="minorHAnsi"/>
          <w:sz w:val="22"/>
          <w:szCs w:val="22"/>
          <w:u w:val="single"/>
        </w:rPr>
        <w:t xml:space="preserve"> </w:t>
      </w:r>
      <w:r w:rsidRPr="00DE57ED">
        <w:rPr>
          <w:rFonts w:asciiTheme="minorHAnsi" w:hAnsiTheme="minorHAnsi" w:cstheme="minorHAnsi"/>
          <w:sz w:val="22"/>
          <w:szCs w:val="22"/>
          <w:u w:val="single"/>
        </w:rPr>
        <w:t>10%</w:t>
      </w:r>
    </w:p>
    <w:p w14:paraId="402B3E6A" w14:textId="77777777" w:rsidR="00A0558B" w:rsidRPr="00DE57ED" w:rsidRDefault="00A0558B" w:rsidP="008D03B2">
      <w:pPr>
        <w:spacing w:line="276" w:lineRule="auto"/>
        <w:rPr>
          <w:rFonts w:asciiTheme="minorHAnsi" w:hAnsiTheme="minorHAnsi" w:cstheme="minorHAnsi"/>
          <w:sz w:val="22"/>
          <w:szCs w:val="22"/>
        </w:rPr>
      </w:pPr>
      <w:r w:rsidRPr="00DE57ED">
        <w:rPr>
          <w:rFonts w:asciiTheme="minorHAnsi" w:hAnsiTheme="minorHAnsi" w:cstheme="minorHAnsi"/>
          <w:sz w:val="22"/>
          <w:szCs w:val="22"/>
        </w:rPr>
        <w:t>Total</w:t>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Pr="00DE57ED">
        <w:rPr>
          <w:rFonts w:asciiTheme="minorHAnsi" w:hAnsiTheme="minorHAnsi" w:cstheme="minorHAnsi"/>
          <w:sz w:val="22"/>
          <w:szCs w:val="22"/>
        </w:rPr>
        <w:tab/>
      </w:r>
      <w:r w:rsidR="00E229A9">
        <w:rPr>
          <w:rFonts w:asciiTheme="minorHAnsi" w:hAnsiTheme="minorHAnsi" w:cstheme="minorHAnsi"/>
          <w:sz w:val="22"/>
          <w:szCs w:val="22"/>
        </w:rPr>
        <w:t xml:space="preserve">     </w:t>
      </w:r>
      <w:r w:rsidRPr="00DE57ED">
        <w:rPr>
          <w:rFonts w:asciiTheme="minorHAnsi" w:hAnsiTheme="minorHAnsi" w:cstheme="minorHAnsi"/>
          <w:sz w:val="22"/>
          <w:szCs w:val="22"/>
        </w:rPr>
        <w:t>100%</w:t>
      </w:r>
    </w:p>
    <w:p w14:paraId="5606304A" w14:textId="77777777" w:rsidR="00A0558B" w:rsidRPr="00DE57ED" w:rsidRDefault="00A0558B" w:rsidP="00B50FFA">
      <w:pPr>
        <w:spacing w:line="276" w:lineRule="auto"/>
        <w:rPr>
          <w:rFonts w:asciiTheme="minorHAnsi" w:hAnsiTheme="minorHAnsi" w:cstheme="minorHAnsi"/>
          <w:sz w:val="22"/>
          <w:szCs w:val="22"/>
          <w:u w:val="single"/>
        </w:rPr>
      </w:pPr>
    </w:p>
    <w:p w14:paraId="4677612C" w14:textId="77777777" w:rsidR="00A0558B" w:rsidRPr="00DE57ED" w:rsidRDefault="00A0558B" w:rsidP="00043DC2">
      <w:pPr>
        <w:pStyle w:val="ListParagraph"/>
        <w:ind w:left="0"/>
        <w:jc w:val="center"/>
        <w:rPr>
          <w:rFonts w:asciiTheme="minorHAnsi" w:hAnsiTheme="minorHAnsi" w:cstheme="minorHAnsi"/>
          <w:b/>
          <w:color w:val="000000"/>
          <w:sz w:val="22"/>
          <w:szCs w:val="22"/>
        </w:rPr>
      </w:pPr>
      <w:r w:rsidRPr="00DE57ED">
        <w:rPr>
          <w:rFonts w:asciiTheme="minorHAnsi" w:hAnsiTheme="minorHAnsi" w:cstheme="minorHAnsi"/>
          <w:b/>
          <w:sz w:val="22"/>
          <w:szCs w:val="22"/>
        </w:rPr>
        <w:t>CLASS SCHEDULE</w:t>
      </w:r>
    </w:p>
    <w:p w14:paraId="6CD7AA1A" w14:textId="77777777" w:rsidR="00A0558B" w:rsidRPr="00DE57ED" w:rsidRDefault="00A0558B" w:rsidP="00043DC2">
      <w:pPr>
        <w:pStyle w:val="ListParagraph"/>
        <w:ind w:left="0"/>
        <w:rPr>
          <w:rFonts w:asciiTheme="minorHAnsi" w:hAnsiTheme="minorHAnsi" w:cstheme="minorHAnsi"/>
          <w:b/>
          <w:color w:val="000000"/>
          <w:sz w:val="22"/>
          <w:szCs w:val="22"/>
        </w:rPr>
      </w:pPr>
      <w:r w:rsidRPr="00DE57ED">
        <w:rPr>
          <w:rFonts w:asciiTheme="minorHAnsi" w:hAnsiTheme="minorHAnsi" w:cstheme="minorHAnsi"/>
          <w:b/>
          <w:color w:val="000000"/>
          <w:sz w:val="22"/>
          <w:szCs w:val="22"/>
        </w:rPr>
        <w:t xml:space="preserve"> </w:t>
      </w:r>
    </w:p>
    <w:p w14:paraId="28A58E79" w14:textId="77777777" w:rsidR="00A0558B" w:rsidRPr="00DE57ED" w:rsidRDefault="00A0558B" w:rsidP="00043DC2">
      <w:pPr>
        <w:pStyle w:val="ListParagraph"/>
        <w:ind w:left="0"/>
        <w:rPr>
          <w:rFonts w:asciiTheme="minorHAnsi" w:hAnsiTheme="minorHAnsi" w:cstheme="minorHAnsi"/>
          <w:color w:val="000000"/>
          <w:sz w:val="22"/>
          <w:szCs w:val="22"/>
        </w:rPr>
      </w:pPr>
      <w:r w:rsidRPr="00DE57ED">
        <w:rPr>
          <w:rFonts w:asciiTheme="minorHAnsi" w:hAnsiTheme="minorHAnsi" w:cstheme="minorHAnsi"/>
          <w:color w:val="000000"/>
          <w:sz w:val="22"/>
          <w:szCs w:val="22"/>
        </w:rPr>
        <w:t>(NOTE: May be subject to change. All changes announced on Blackboard)</w:t>
      </w:r>
    </w:p>
    <w:p w14:paraId="72578881" w14:textId="77777777" w:rsidR="00A0558B" w:rsidRPr="00DE57ED" w:rsidRDefault="00A0558B" w:rsidP="00B50FFA">
      <w:pPr>
        <w:spacing w:line="276" w:lineRule="auto"/>
        <w:rPr>
          <w:rFonts w:asciiTheme="minorHAnsi" w:hAnsiTheme="minorHAnsi" w:cstheme="minorHAnsi"/>
          <w:sz w:val="22"/>
          <w:szCs w:val="22"/>
        </w:rPr>
      </w:pPr>
    </w:p>
    <w:p w14:paraId="231CA0D2" w14:textId="77777777" w:rsidR="00A0558B" w:rsidRPr="00DE57ED" w:rsidRDefault="00A0558B" w:rsidP="00B50FF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1: Introduction to Emergency Risk Communication</w:t>
      </w:r>
    </w:p>
    <w:p w14:paraId="1C5257C1" w14:textId="77777777" w:rsidR="00A0558B" w:rsidRPr="00DE57ED" w:rsidRDefault="00A0558B" w:rsidP="002442BC">
      <w:pPr>
        <w:pStyle w:val="ListParagraph"/>
        <w:numPr>
          <w:ilvl w:val="0"/>
          <w:numId w:val="35"/>
        </w:numPr>
        <w:spacing w:line="276" w:lineRule="auto"/>
        <w:rPr>
          <w:rFonts w:asciiTheme="minorHAnsi" w:hAnsiTheme="minorHAnsi" w:cstheme="minorHAnsi"/>
          <w:sz w:val="22"/>
          <w:szCs w:val="22"/>
        </w:rPr>
      </w:pPr>
      <w:r w:rsidRPr="00DE57ED">
        <w:rPr>
          <w:rFonts w:asciiTheme="minorHAnsi" w:hAnsiTheme="minorHAnsi" w:cstheme="minorHAnsi"/>
          <w:sz w:val="22"/>
          <w:szCs w:val="22"/>
        </w:rPr>
        <w:t>Introduction to global “Risk Society” and “Disaster Capitalism”</w:t>
      </w:r>
    </w:p>
    <w:p w14:paraId="1DFD5B2F" w14:textId="77777777" w:rsidR="00A0558B" w:rsidRPr="00DE57ED" w:rsidRDefault="00A0558B" w:rsidP="003F710B">
      <w:pPr>
        <w:pStyle w:val="ListParagraph"/>
        <w:numPr>
          <w:ilvl w:val="0"/>
          <w:numId w:val="35"/>
        </w:numPr>
        <w:spacing w:line="276" w:lineRule="auto"/>
        <w:rPr>
          <w:rFonts w:asciiTheme="minorHAnsi" w:hAnsiTheme="minorHAnsi" w:cstheme="minorHAnsi"/>
          <w:sz w:val="22"/>
          <w:szCs w:val="22"/>
        </w:rPr>
      </w:pPr>
      <w:r w:rsidRPr="00DE57ED">
        <w:rPr>
          <w:rFonts w:asciiTheme="minorHAnsi" w:hAnsiTheme="minorHAnsi" w:cstheme="minorHAnsi"/>
          <w:sz w:val="22"/>
          <w:szCs w:val="22"/>
        </w:rPr>
        <w:t>Definitions of Crisis and Emergency Risk communication concepts</w:t>
      </w:r>
    </w:p>
    <w:p w14:paraId="1B9FEC46" w14:textId="77777777" w:rsidR="00A0558B" w:rsidRPr="00D80E40" w:rsidRDefault="00A0558B" w:rsidP="00D80E40">
      <w:pPr>
        <w:pStyle w:val="ListParagraph"/>
        <w:numPr>
          <w:ilvl w:val="0"/>
          <w:numId w:val="35"/>
        </w:numPr>
        <w:spacing w:line="276" w:lineRule="auto"/>
        <w:rPr>
          <w:rFonts w:asciiTheme="minorHAnsi" w:hAnsiTheme="minorHAnsi" w:cstheme="minorHAnsi"/>
          <w:sz w:val="22"/>
          <w:szCs w:val="22"/>
        </w:rPr>
      </w:pPr>
      <w:r w:rsidRPr="00DE57ED">
        <w:rPr>
          <w:rFonts w:asciiTheme="minorHAnsi" w:hAnsiTheme="minorHAnsi" w:cstheme="minorHAnsi"/>
          <w:sz w:val="22"/>
          <w:szCs w:val="22"/>
        </w:rPr>
        <w:t>Types of events, and factors that increase risks to health and safety</w:t>
      </w:r>
    </w:p>
    <w:p w14:paraId="6137F6DF" w14:textId="77777777" w:rsidR="00A0558B" w:rsidRPr="00DE57ED" w:rsidRDefault="00A0558B" w:rsidP="002442BC">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2: How People Handle a Crisis</w:t>
      </w:r>
    </w:p>
    <w:p w14:paraId="3B06A0C1" w14:textId="77777777" w:rsidR="00A0558B" w:rsidRPr="00DE57ED" w:rsidRDefault="00A0558B" w:rsidP="002442BC">
      <w:pPr>
        <w:pStyle w:val="ListParagraph"/>
        <w:numPr>
          <w:ilvl w:val="0"/>
          <w:numId w:val="36"/>
        </w:numPr>
        <w:spacing w:line="276" w:lineRule="auto"/>
        <w:rPr>
          <w:rFonts w:asciiTheme="minorHAnsi" w:hAnsiTheme="minorHAnsi" w:cstheme="minorHAnsi"/>
          <w:sz w:val="22"/>
          <w:szCs w:val="22"/>
        </w:rPr>
      </w:pPr>
      <w:r w:rsidRPr="00DE57ED">
        <w:rPr>
          <w:rFonts w:asciiTheme="minorHAnsi" w:hAnsiTheme="minorHAnsi" w:cstheme="minorHAnsi"/>
          <w:sz w:val="22"/>
          <w:szCs w:val="22"/>
        </w:rPr>
        <w:t>Poverty /affluence as determining factors in health and safety outcomes</w:t>
      </w:r>
    </w:p>
    <w:p w14:paraId="0851DA7E" w14:textId="77777777" w:rsidR="00A0558B" w:rsidRPr="00DE57ED" w:rsidRDefault="00A0558B" w:rsidP="002442BC">
      <w:pPr>
        <w:pStyle w:val="ListParagraph"/>
        <w:numPr>
          <w:ilvl w:val="0"/>
          <w:numId w:val="36"/>
        </w:numPr>
        <w:spacing w:line="276" w:lineRule="auto"/>
        <w:rPr>
          <w:rFonts w:asciiTheme="minorHAnsi" w:hAnsiTheme="minorHAnsi" w:cstheme="minorHAnsi"/>
          <w:b/>
          <w:sz w:val="22"/>
          <w:szCs w:val="22"/>
        </w:rPr>
      </w:pPr>
      <w:r w:rsidRPr="00DE57ED">
        <w:rPr>
          <w:rFonts w:asciiTheme="minorHAnsi" w:hAnsiTheme="minorHAnsi" w:cstheme="minorHAnsi"/>
          <w:sz w:val="22"/>
          <w:szCs w:val="22"/>
        </w:rPr>
        <w:t>The affective contagion of an emergency</w:t>
      </w:r>
    </w:p>
    <w:p w14:paraId="4737C719" w14:textId="77777777" w:rsidR="00A0558B" w:rsidRPr="00D80E40" w:rsidRDefault="00A0558B" w:rsidP="004A516D">
      <w:pPr>
        <w:pStyle w:val="ListParagraph"/>
        <w:numPr>
          <w:ilvl w:val="0"/>
          <w:numId w:val="36"/>
        </w:numPr>
        <w:spacing w:line="276" w:lineRule="auto"/>
        <w:rPr>
          <w:rFonts w:asciiTheme="minorHAnsi" w:hAnsiTheme="minorHAnsi" w:cstheme="minorHAnsi"/>
          <w:b/>
          <w:sz w:val="22"/>
          <w:szCs w:val="22"/>
        </w:rPr>
      </w:pPr>
      <w:r w:rsidRPr="00DE57ED">
        <w:rPr>
          <w:rFonts w:asciiTheme="minorHAnsi" w:hAnsiTheme="minorHAnsi" w:cstheme="minorHAnsi"/>
          <w:sz w:val="22"/>
          <w:szCs w:val="22"/>
        </w:rPr>
        <w:t>Risk perception and behaviors</w:t>
      </w:r>
    </w:p>
    <w:p w14:paraId="41DDF42E" w14:textId="77777777" w:rsidR="0074173A" w:rsidRPr="00DE57ED" w:rsidRDefault="00A0558B" w:rsidP="0074173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Week 3: </w:t>
      </w:r>
      <w:r w:rsidR="0074173A" w:rsidRPr="00DE57ED">
        <w:rPr>
          <w:rFonts w:asciiTheme="minorHAnsi" w:hAnsiTheme="minorHAnsi" w:cstheme="minorHAnsi"/>
          <w:b/>
          <w:sz w:val="22"/>
          <w:szCs w:val="22"/>
        </w:rPr>
        <w:t>Understanding the Communication Environment</w:t>
      </w:r>
    </w:p>
    <w:p w14:paraId="7AED6A57" w14:textId="77777777" w:rsidR="0074173A" w:rsidRPr="00DE57ED" w:rsidRDefault="0074173A" w:rsidP="0074173A">
      <w:pPr>
        <w:pStyle w:val="ListParagraph"/>
        <w:numPr>
          <w:ilvl w:val="0"/>
          <w:numId w:val="41"/>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Communication Surveillance and the information ecosystem</w:t>
      </w:r>
    </w:p>
    <w:p w14:paraId="01157F73" w14:textId="77777777" w:rsidR="0074173A" w:rsidRPr="00DE57ED" w:rsidRDefault="0074173A" w:rsidP="0074173A">
      <w:pPr>
        <w:pStyle w:val="ListParagraph"/>
        <w:numPr>
          <w:ilvl w:val="0"/>
          <w:numId w:val="41"/>
        </w:numPr>
        <w:spacing w:line="276" w:lineRule="auto"/>
        <w:rPr>
          <w:rFonts w:asciiTheme="minorHAnsi" w:hAnsiTheme="minorHAnsi" w:cstheme="minorHAnsi"/>
          <w:sz w:val="22"/>
          <w:szCs w:val="22"/>
        </w:rPr>
      </w:pPr>
      <w:r w:rsidRPr="00DE57ED">
        <w:rPr>
          <w:rFonts w:asciiTheme="minorHAnsi" w:hAnsiTheme="minorHAnsi" w:cstheme="minorHAnsi"/>
          <w:sz w:val="22"/>
          <w:szCs w:val="22"/>
        </w:rPr>
        <w:t>Media monitoring for traditional and new media</w:t>
      </w:r>
    </w:p>
    <w:p w14:paraId="30C70B5C" w14:textId="77777777" w:rsidR="00A0558B" w:rsidRPr="00D80E40" w:rsidRDefault="0074173A" w:rsidP="004A516D">
      <w:pPr>
        <w:pStyle w:val="ListParagraph"/>
        <w:numPr>
          <w:ilvl w:val="0"/>
          <w:numId w:val="41"/>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Combatting errors, “fake news” and misperceptions</w:t>
      </w:r>
    </w:p>
    <w:p w14:paraId="5F0BA52F" w14:textId="77777777" w:rsidR="0074173A" w:rsidRPr="00DE57ED" w:rsidRDefault="00A0558B" w:rsidP="0074173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Week 4: </w:t>
      </w:r>
      <w:r w:rsidR="0074173A" w:rsidRPr="00DE57ED">
        <w:rPr>
          <w:rFonts w:asciiTheme="minorHAnsi" w:hAnsiTheme="minorHAnsi" w:cstheme="minorHAnsi"/>
          <w:b/>
          <w:sz w:val="22"/>
          <w:szCs w:val="22"/>
        </w:rPr>
        <w:t>Media Monitoring and Communication Channels</w:t>
      </w:r>
    </w:p>
    <w:p w14:paraId="5CCCDC78" w14:textId="77777777" w:rsidR="0074173A" w:rsidRPr="00DE57ED" w:rsidRDefault="0074173A" w:rsidP="0074173A">
      <w:pPr>
        <w:pStyle w:val="ListParagraph"/>
        <w:numPr>
          <w:ilvl w:val="0"/>
          <w:numId w:val="42"/>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Communication channel attributes, and why mobile technology is a game changer</w:t>
      </w:r>
    </w:p>
    <w:p w14:paraId="3A32C867" w14:textId="77777777" w:rsidR="0074173A" w:rsidRPr="00DE57ED" w:rsidRDefault="0074173A" w:rsidP="0074173A">
      <w:pPr>
        <w:pStyle w:val="ListParagraph"/>
        <w:numPr>
          <w:ilvl w:val="0"/>
          <w:numId w:val="42"/>
        </w:numPr>
        <w:spacing w:line="276" w:lineRule="auto"/>
        <w:rPr>
          <w:rFonts w:asciiTheme="minorHAnsi" w:hAnsiTheme="minorHAnsi" w:cstheme="minorHAnsi"/>
          <w:sz w:val="22"/>
          <w:szCs w:val="22"/>
        </w:rPr>
      </w:pPr>
      <w:r w:rsidRPr="00DE57ED">
        <w:rPr>
          <w:rFonts w:asciiTheme="minorHAnsi" w:hAnsiTheme="minorHAnsi" w:cstheme="minorHAnsi"/>
          <w:sz w:val="22"/>
          <w:szCs w:val="22"/>
        </w:rPr>
        <w:t>Media monitoring techniques</w:t>
      </w:r>
    </w:p>
    <w:p w14:paraId="493EE4F8" w14:textId="77777777" w:rsidR="00A0558B" w:rsidRPr="00D80E40" w:rsidRDefault="0074173A" w:rsidP="004A516D">
      <w:pPr>
        <w:pStyle w:val="ListParagraph"/>
        <w:numPr>
          <w:ilvl w:val="0"/>
          <w:numId w:val="42"/>
        </w:numPr>
        <w:spacing w:line="276" w:lineRule="auto"/>
        <w:rPr>
          <w:rFonts w:asciiTheme="minorHAnsi" w:hAnsiTheme="minorHAnsi" w:cstheme="minorHAnsi"/>
          <w:sz w:val="22"/>
          <w:szCs w:val="22"/>
        </w:rPr>
      </w:pPr>
      <w:r w:rsidRPr="00DE57ED">
        <w:rPr>
          <w:rFonts w:asciiTheme="minorHAnsi" w:hAnsiTheme="minorHAnsi" w:cstheme="minorHAnsi"/>
          <w:sz w:val="22"/>
          <w:szCs w:val="22"/>
        </w:rPr>
        <w:t>Means of communicating in the event of channel disruption</w:t>
      </w:r>
    </w:p>
    <w:p w14:paraId="0CE2D7DC" w14:textId="77777777" w:rsidR="00A0558B" w:rsidRPr="00DE57ED" w:rsidRDefault="00A0558B" w:rsidP="004A516D">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lastRenderedPageBreak/>
        <w:t>Week 5: Crisis Communication Planning</w:t>
      </w:r>
    </w:p>
    <w:p w14:paraId="757FDD9F" w14:textId="77777777" w:rsidR="00A0558B" w:rsidRPr="00DE57ED" w:rsidRDefault="00A0558B" w:rsidP="007A3859">
      <w:pPr>
        <w:pStyle w:val="ListParagraph"/>
        <w:numPr>
          <w:ilvl w:val="0"/>
          <w:numId w:val="39"/>
        </w:numPr>
        <w:spacing w:line="276" w:lineRule="auto"/>
        <w:rPr>
          <w:rFonts w:asciiTheme="minorHAnsi" w:hAnsiTheme="minorHAnsi" w:cstheme="minorHAnsi"/>
          <w:sz w:val="22"/>
          <w:szCs w:val="22"/>
        </w:rPr>
      </w:pPr>
      <w:r w:rsidRPr="00DE57ED">
        <w:rPr>
          <w:rFonts w:asciiTheme="minorHAnsi" w:hAnsiTheme="minorHAnsi" w:cstheme="minorHAnsi"/>
          <w:sz w:val="22"/>
          <w:szCs w:val="22"/>
        </w:rPr>
        <w:t>Anticipating crisis related to climate change and globalization</w:t>
      </w:r>
    </w:p>
    <w:p w14:paraId="456620A3" w14:textId="77777777" w:rsidR="00A0558B" w:rsidRPr="00DE57ED" w:rsidRDefault="00A0558B" w:rsidP="0057634F">
      <w:pPr>
        <w:pStyle w:val="ListParagraph"/>
        <w:numPr>
          <w:ilvl w:val="0"/>
          <w:numId w:val="39"/>
        </w:numPr>
        <w:spacing w:line="276" w:lineRule="auto"/>
        <w:rPr>
          <w:rFonts w:asciiTheme="minorHAnsi" w:hAnsiTheme="minorHAnsi" w:cstheme="minorHAnsi"/>
          <w:sz w:val="22"/>
          <w:szCs w:val="22"/>
        </w:rPr>
      </w:pPr>
      <w:r w:rsidRPr="00DE57ED">
        <w:rPr>
          <w:rFonts w:asciiTheme="minorHAnsi" w:hAnsiTheme="minorHAnsi" w:cstheme="minorHAnsi"/>
          <w:sz w:val="22"/>
          <w:szCs w:val="22"/>
        </w:rPr>
        <w:t>OSHA Emergency Action Plan Checklist</w:t>
      </w:r>
    </w:p>
    <w:p w14:paraId="79FEDB10" w14:textId="77777777" w:rsidR="0074173A" w:rsidRPr="0074173A" w:rsidRDefault="00A0558B" w:rsidP="0074173A">
      <w:pPr>
        <w:pStyle w:val="ListParagraph"/>
        <w:numPr>
          <w:ilvl w:val="0"/>
          <w:numId w:val="39"/>
        </w:numPr>
        <w:spacing w:line="276" w:lineRule="auto"/>
        <w:rPr>
          <w:rFonts w:asciiTheme="minorHAnsi" w:hAnsiTheme="minorHAnsi" w:cstheme="minorHAnsi"/>
          <w:sz w:val="22"/>
          <w:szCs w:val="22"/>
        </w:rPr>
      </w:pPr>
      <w:r w:rsidRPr="00DE57ED">
        <w:rPr>
          <w:rFonts w:asciiTheme="minorHAnsi" w:hAnsiTheme="minorHAnsi" w:cstheme="minorHAnsi"/>
          <w:sz w:val="22"/>
          <w:szCs w:val="22"/>
        </w:rPr>
        <w:t>Phases of a crisis in emergency events</w:t>
      </w:r>
    </w:p>
    <w:p w14:paraId="4126EA73" w14:textId="77777777" w:rsidR="00A0558B" w:rsidRPr="00DE57ED" w:rsidRDefault="00A0558B" w:rsidP="00B50FF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6: The Role of Spokespersons</w:t>
      </w:r>
    </w:p>
    <w:p w14:paraId="0CFD1E83" w14:textId="77777777" w:rsidR="00A0558B" w:rsidRPr="00DE57ED" w:rsidRDefault="00A0558B" w:rsidP="007A3859">
      <w:pPr>
        <w:pStyle w:val="ListParagraph"/>
        <w:numPr>
          <w:ilvl w:val="0"/>
          <w:numId w:val="40"/>
        </w:numPr>
        <w:spacing w:line="276" w:lineRule="auto"/>
        <w:rPr>
          <w:rFonts w:asciiTheme="minorHAnsi" w:hAnsiTheme="minorHAnsi" w:cstheme="minorHAnsi"/>
          <w:sz w:val="22"/>
          <w:szCs w:val="22"/>
        </w:rPr>
      </w:pPr>
      <w:r w:rsidRPr="00DE57ED">
        <w:rPr>
          <w:rFonts w:asciiTheme="minorHAnsi" w:hAnsiTheme="minorHAnsi" w:cstheme="minorHAnsi"/>
          <w:sz w:val="22"/>
          <w:szCs w:val="22"/>
        </w:rPr>
        <w:t>Incident command structure</w:t>
      </w:r>
    </w:p>
    <w:p w14:paraId="65884E2C" w14:textId="77777777" w:rsidR="00A0558B" w:rsidRPr="00DE57ED" w:rsidRDefault="00A0558B" w:rsidP="007A3859">
      <w:pPr>
        <w:pStyle w:val="ListParagraph"/>
        <w:numPr>
          <w:ilvl w:val="0"/>
          <w:numId w:val="40"/>
        </w:numPr>
        <w:spacing w:line="276" w:lineRule="auto"/>
        <w:rPr>
          <w:rFonts w:asciiTheme="minorHAnsi" w:hAnsiTheme="minorHAnsi" w:cstheme="minorHAnsi"/>
          <w:sz w:val="22"/>
          <w:szCs w:val="22"/>
        </w:rPr>
      </w:pPr>
      <w:r w:rsidRPr="00DE57ED">
        <w:rPr>
          <w:rFonts w:asciiTheme="minorHAnsi" w:hAnsiTheme="minorHAnsi" w:cstheme="minorHAnsi"/>
          <w:sz w:val="22"/>
          <w:szCs w:val="22"/>
        </w:rPr>
        <w:t>Public Information Officers</w:t>
      </w:r>
    </w:p>
    <w:p w14:paraId="392BCBDF" w14:textId="77777777" w:rsidR="00A0558B" w:rsidRPr="0074173A" w:rsidRDefault="00A0558B" w:rsidP="0074173A">
      <w:pPr>
        <w:pStyle w:val="ListParagraph"/>
        <w:numPr>
          <w:ilvl w:val="0"/>
          <w:numId w:val="40"/>
        </w:num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International differences in emergency response </w:t>
      </w:r>
    </w:p>
    <w:p w14:paraId="6038F457" w14:textId="77777777" w:rsidR="00A0558B" w:rsidRPr="00D80E40" w:rsidRDefault="0074173A" w:rsidP="007A3859">
      <w:pPr>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First</w:t>
      </w:r>
      <w:r w:rsidR="00A0558B" w:rsidRPr="00DE57ED">
        <w:rPr>
          <w:rFonts w:asciiTheme="minorHAnsi" w:hAnsiTheme="minorHAnsi" w:cstheme="minorHAnsi"/>
          <w:sz w:val="22"/>
          <w:szCs w:val="22"/>
          <w:u w:val="single"/>
        </w:rPr>
        <w:t xml:space="preserve"> </w:t>
      </w:r>
      <w:r>
        <w:rPr>
          <w:rFonts w:asciiTheme="minorHAnsi" w:hAnsiTheme="minorHAnsi" w:cstheme="minorHAnsi"/>
          <w:sz w:val="22"/>
          <w:szCs w:val="22"/>
          <w:u w:val="single"/>
        </w:rPr>
        <w:t>Media Monitoring</w:t>
      </w:r>
      <w:r w:rsidR="00A0558B" w:rsidRPr="00DE57ED">
        <w:rPr>
          <w:rFonts w:asciiTheme="minorHAnsi" w:hAnsiTheme="minorHAnsi" w:cstheme="minorHAnsi"/>
          <w:sz w:val="22"/>
          <w:szCs w:val="22"/>
          <w:u w:val="single"/>
        </w:rPr>
        <w:t xml:space="preserve"> Report due</w:t>
      </w:r>
    </w:p>
    <w:p w14:paraId="04028EA4" w14:textId="77777777" w:rsidR="00A0558B" w:rsidRPr="00DE57ED" w:rsidRDefault="00A0558B" w:rsidP="007A3859">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Week 7: Simulated Crisis Response Assignment </w:t>
      </w:r>
    </w:p>
    <w:p w14:paraId="7126E5AB" w14:textId="77777777" w:rsidR="00A0558B" w:rsidRPr="00DE57ED" w:rsidRDefault="00A0558B" w:rsidP="007A3859">
      <w:pPr>
        <w:pStyle w:val="ListParagraph"/>
        <w:numPr>
          <w:ilvl w:val="0"/>
          <w:numId w:val="41"/>
        </w:numPr>
        <w:spacing w:line="276" w:lineRule="auto"/>
        <w:rPr>
          <w:rFonts w:asciiTheme="minorHAnsi" w:hAnsiTheme="minorHAnsi" w:cstheme="minorHAnsi"/>
          <w:sz w:val="22"/>
          <w:szCs w:val="22"/>
        </w:rPr>
      </w:pPr>
      <w:r w:rsidRPr="00DE57ED">
        <w:rPr>
          <w:rFonts w:asciiTheme="minorHAnsi" w:hAnsiTheme="minorHAnsi" w:cstheme="minorHAnsi"/>
          <w:sz w:val="22"/>
          <w:szCs w:val="22"/>
        </w:rPr>
        <w:t>Simulated Crisis Response with assigned roles, culminating in a press conference</w:t>
      </w:r>
    </w:p>
    <w:p w14:paraId="7C45C4E2" w14:textId="77777777" w:rsidR="00A0558B" w:rsidRPr="00DE57ED" w:rsidRDefault="00A0558B" w:rsidP="007A3859">
      <w:pPr>
        <w:spacing w:line="276" w:lineRule="auto"/>
        <w:rPr>
          <w:rFonts w:asciiTheme="minorHAnsi" w:hAnsiTheme="minorHAnsi" w:cstheme="minorHAnsi"/>
          <w:sz w:val="22"/>
          <w:szCs w:val="22"/>
          <w:u w:val="single"/>
        </w:rPr>
      </w:pPr>
      <w:r w:rsidRPr="00DE57ED">
        <w:rPr>
          <w:rFonts w:asciiTheme="minorHAnsi" w:hAnsiTheme="minorHAnsi" w:cstheme="minorHAnsi"/>
          <w:sz w:val="22"/>
          <w:szCs w:val="22"/>
          <w:u w:val="single"/>
        </w:rPr>
        <w:t>One-page description of your final project due</w:t>
      </w:r>
    </w:p>
    <w:p w14:paraId="1B9F045F" w14:textId="77777777" w:rsidR="0074173A" w:rsidRPr="00DE57ED" w:rsidRDefault="00A0558B" w:rsidP="0074173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Week 8: </w:t>
      </w:r>
      <w:r w:rsidR="0074173A" w:rsidRPr="00DE57ED">
        <w:rPr>
          <w:rFonts w:asciiTheme="minorHAnsi" w:hAnsiTheme="minorHAnsi" w:cstheme="minorHAnsi"/>
          <w:b/>
          <w:sz w:val="22"/>
          <w:szCs w:val="22"/>
        </w:rPr>
        <w:t>Response Hierarchy, Messages and Audiences</w:t>
      </w:r>
    </w:p>
    <w:p w14:paraId="3E776423" w14:textId="77777777" w:rsidR="0074173A" w:rsidRPr="00DE57ED" w:rsidRDefault="0074173A" w:rsidP="0074173A">
      <w:pPr>
        <w:pStyle w:val="ListParagraph"/>
        <w:numPr>
          <w:ilvl w:val="0"/>
          <w:numId w:val="37"/>
        </w:num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Identifying leadership roles during an emergency </w:t>
      </w:r>
    </w:p>
    <w:p w14:paraId="05497254" w14:textId="77777777" w:rsidR="0074173A" w:rsidRPr="00DE57ED" w:rsidRDefault="0074173A" w:rsidP="0074173A">
      <w:pPr>
        <w:pStyle w:val="ListParagraph"/>
        <w:numPr>
          <w:ilvl w:val="0"/>
          <w:numId w:val="37"/>
        </w:numPr>
        <w:spacing w:line="276" w:lineRule="auto"/>
        <w:rPr>
          <w:rFonts w:asciiTheme="minorHAnsi" w:hAnsiTheme="minorHAnsi" w:cstheme="minorHAnsi"/>
          <w:sz w:val="22"/>
          <w:szCs w:val="22"/>
        </w:rPr>
      </w:pPr>
      <w:r w:rsidRPr="00DE57ED">
        <w:rPr>
          <w:rFonts w:asciiTheme="minorHAnsi" w:hAnsiTheme="minorHAnsi" w:cstheme="minorHAnsi"/>
          <w:sz w:val="22"/>
          <w:szCs w:val="22"/>
        </w:rPr>
        <w:t>Learning about audience</w:t>
      </w:r>
      <w:r>
        <w:rPr>
          <w:rFonts w:asciiTheme="minorHAnsi" w:hAnsiTheme="minorHAnsi" w:cstheme="minorHAnsi"/>
          <w:sz w:val="22"/>
          <w:szCs w:val="22"/>
        </w:rPr>
        <w:t>s</w:t>
      </w:r>
    </w:p>
    <w:p w14:paraId="6DB3AB4C" w14:textId="77777777" w:rsidR="0074173A" w:rsidRPr="00DE57ED" w:rsidRDefault="0074173A" w:rsidP="0074173A">
      <w:pPr>
        <w:pStyle w:val="ListParagraph"/>
        <w:numPr>
          <w:ilvl w:val="0"/>
          <w:numId w:val="37"/>
        </w:numPr>
        <w:spacing w:line="276" w:lineRule="auto"/>
        <w:rPr>
          <w:rFonts w:asciiTheme="minorHAnsi" w:hAnsiTheme="minorHAnsi" w:cstheme="minorHAnsi"/>
          <w:sz w:val="22"/>
          <w:szCs w:val="22"/>
        </w:rPr>
      </w:pPr>
      <w:r w:rsidRPr="00DE57ED">
        <w:rPr>
          <w:rFonts w:asciiTheme="minorHAnsi" w:hAnsiTheme="minorHAnsi" w:cstheme="minorHAnsi"/>
          <w:sz w:val="22"/>
          <w:szCs w:val="22"/>
        </w:rPr>
        <w:t>Making facts work in your message and handling uncertainty</w:t>
      </w:r>
    </w:p>
    <w:p w14:paraId="20BF77F3" w14:textId="77777777" w:rsidR="00A0558B" w:rsidRPr="00D80E40" w:rsidRDefault="0074173A" w:rsidP="00B50FFA">
      <w:pPr>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Second Media Monitoring</w:t>
      </w:r>
      <w:r w:rsidRPr="00DE57ED">
        <w:rPr>
          <w:rFonts w:asciiTheme="minorHAnsi" w:hAnsiTheme="minorHAnsi" w:cstheme="minorHAnsi"/>
          <w:sz w:val="22"/>
          <w:szCs w:val="22"/>
          <w:u w:val="single"/>
        </w:rPr>
        <w:t xml:space="preserve"> Report due</w:t>
      </w:r>
    </w:p>
    <w:p w14:paraId="6C696A22" w14:textId="77777777" w:rsidR="0074173A" w:rsidRPr="0074173A" w:rsidRDefault="00A0558B" w:rsidP="0074173A">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 xml:space="preserve">Week 9: </w:t>
      </w:r>
      <w:r w:rsidR="0074173A" w:rsidRPr="00DE57ED">
        <w:rPr>
          <w:rFonts w:asciiTheme="minorHAnsi" w:hAnsiTheme="minorHAnsi" w:cstheme="minorHAnsi"/>
          <w:b/>
          <w:sz w:val="22"/>
          <w:szCs w:val="22"/>
        </w:rPr>
        <w:t>Engaging the Community</w:t>
      </w:r>
    </w:p>
    <w:p w14:paraId="231997C9" w14:textId="77777777" w:rsidR="0074173A" w:rsidRPr="00DE57ED" w:rsidRDefault="0074173A" w:rsidP="0074173A">
      <w:pPr>
        <w:pStyle w:val="ListParagraph"/>
        <w:numPr>
          <w:ilvl w:val="0"/>
          <w:numId w:val="38"/>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Communities, cultures and language differences during an emergency</w:t>
      </w:r>
    </w:p>
    <w:p w14:paraId="27E0B032" w14:textId="77777777" w:rsidR="0074173A" w:rsidRPr="00DE57ED" w:rsidRDefault="0074173A" w:rsidP="0074173A">
      <w:pPr>
        <w:pStyle w:val="ListParagraph"/>
        <w:numPr>
          <w:ilvl w:val="0"/>
          <w:numId w:val="38"/>
        </w:numPr>
        <w:spacing w:line="276" w:lineRule="auto"/>
        <w:rPr>
          <w:rFonts w:asciiTheme="minorHAnsi" w:hAnsiTheme="minorHAnsi" w:cstheme="minorHAnsi"/>
          <w:sz w:val="22"/>
          <w:szCs w:val="22"/>
        </w:rPr>
      </w:pPr>
      <w:r w:rsidRPr="00DE57ED">
        <w:rPr>
          <w:rFonts w:asciiTheme="minorHAnsi" w:hAnsiTheme="minorHAnsi" w:cstheme="minorHAnsi"/>
          <w:sz w:val="22"/>
          <w:szCs w:val="22"/>
        </w:rPr>
        <w:t xml:space="preserve">Types of community relationships </w:t>
      </w:r>
    </w:p>
    <w:p w14:paraId="71D42E26" w14:textId="77777777" w:rsidR="00A0558B" w:rsidRPr="00D80E40" w:rsidRDefault="0074173A" w:rsidP="00007C80">
      <w:pPr>
        <w:pStyle w:val="ListParagraph"/>
        <w:numPr>
          <w:ilvl w:val="0"/>
          <w:numId w:val="38"/>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Community engagement during each phase of a crisis</w:t>
      </w:r>
    </w:p>
    <w:p w14:paraId="73FB6CA6" w14:textId="77777777" w:rsidR="00A0558B" w:rsidRPr="00DE57ED" w:rsidRDefault="00A0558B" w:rsidP="00007C80">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10: Environmental Disaster Communication Challenges</w:t>
      </w:r>
    </w:p>
    <w:p w14:paraId="0F841E75" w14:textId="77777777" w:rsidR="00A0558B" w:rsidRPr="00DE57ED" w:rsidRDefault="00A0558B" w:rsidP="00EB7583">
      <w:pPr>
        <w:pStyle w:val="ListParagraph"/>
        <w:numPr>
          <w:ilvl w:val="0"/>
          <w:numId w:val="43"/>
        </w:numPr>
        <w:spacing w:line="276" w:lineRule="auto"/>
        <w:rPr>
          <w:rFonts w:asciiTheme="minorHAnsi" w:hAnsiTheme="minorHAnsi" w:cstheme="minorHAnsi"/>
          <w:sz w:val="22"/>
          <w:szCs w:val="22"/>
        </w:rPr>
      </w:pPr>
      <w:r w:rsidRPr="00DE57ED">
        <w:rPr>
          <w:rFonts w:asciiTheme="minorHAnsi" w:hAnsiTheme="minorHAnsi" w:cstheme="minorHAnsi"/>
          <w:sz w:val="22"/>
          <w:szCs w:val="22"/>
        </w:rPr>
        <w:t>Learning from hurricanes, tornados and floods</w:t>
      </w:r>
    </w:p>
    <w:p w14:paraId="5A91359C" w14:textId="77777777" w:rsidR="00A0558B" w:rsidRPr="00DE57ED" w:rsidRDefault="00A0558B" w:rsidP="00EB7583">
      <w:pPr>
        <w:pStyle w:val="ListParagraph"/>
        <w:numPr>
          <w:ilvl w:val="0"/>
          <w:numId w:val="43"/>
        </w:numPr>
        <w:spacing w:line="276" w:lineRule="auto"/>
        <w:rPr>
          <w:rFonts w:asciiTheme="minorHAnsi" w:hAnsiTheme="minorHAnsi" w:cstheme="minorHAnsi"/>
          <w:sz w:val="22"/>
          <w:szCs w:val="22"/>
        </w:rPr>
      </w:pPr>
      <w:r w:rsidRPr="00DE57ED">
        <w:rPr>
          <w:rFonts w:asciiTheme="minorHAnsi" w:hAnsiTheme="minorHAnsi" w:cstheme="minorHAnsi"/>
          <w:sz w:val="22"/>
          <w:szCs w:val="22"/>
        </w:rPr>
        <w:t>How globalization can facilitate health risks of natural disasters</w:t>
      </w:r>
    </w:p>
    <w:p w14:paraId="0FC289FA" w14:textId="77777777" w:rsidR="00A0558B" w:rsidRPr="00D80E40" w:rsidRDefault="00A0558B" w:rsidP="00EB7583">
      <w:pPr>
        <w:pStyle w:val="ListParagraph"/>
        <w:numPr>
          <w:ilvl w:val="0"/>
          <w:numId w:val="43"/>
        </w:numPr>
        <w:spacing w:line="276" w:lineRule="auto"/>
        <w:rPr>
          <w:rFonts w:asciiTheme="minorHAnsi" w:hAnsiTheme="minorHAnsi" w:cstheme="minorHAnsi"/>
          <w:sz w:val="22"/>
          <w:szCs w:val="22"/>
        </w:rPr>
      </w:pPr>
      <w:r w:rsidRPr="00DE57ED">
        <w:rPr>
          <w:rFonts w:asciiTheme="minorHAnsi" w:hAnsiTheme="minorHAnsi" w:cstheme="minorHAnsi"/>
          <w:sz w:val="22"/>
          <w:szCs w:val="22"/>
        </w:rPr>
        <w:t>Climate change and the challenge for science communication</w:t>
      </w:r>
    </w:p>
    <w:p w14:paraId="3533E94E" w14:textId="77777777" w:rsidR="00A0558B" w:rsidRPr="00DE57ED" w:rsidRDefault="00A0558B" w:rsidP="00EB7583">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11: Terrorism and Gun Violence: Communication Challenges</w:t>
      </w:r>
    </w:p>
    <w:p w14:paraId="238A12A1" w14:textId="77777777" w:rsidR="00A0558B" w:rsidRPr="00DE57ED" w:rsidRDefault="00A0558B" w:rsidP="00EB7583">
      <w:pPr>
        <w:pStyle w:val="ListParagraph"/>
        <w:numPr>
          <w:ilvl w:val="0"/>
          <w:numId w:val="44"/>
        </w:numPr>
        <w:spacing w:line="276" w:lineRule="auto"/>
        <w:rPr>
          <w:rFonts w:asciiTheme="minorHAnsi" w:hAnsiTheme="minorHAnsi" w:cstheme="minorHAnsi"/>
          <w:sz w:val="22"/>
          <w:szCs w:val="22"/>
        </w:rPr>
      </w:pPr>
      <w:r w:rsidRPr="00DE57ED">
        <w:rPr>
          <w:rFonts w:asciiTheme="minorHAnsi" w:hAnsiTheme="minorHAnsi" w:cstheme="minorHAnsi"/>
          <w:sz w:val="22"/>
          <w:szCs w:val="22"/>
        </w:rPr>
        <w:t>Communicating during chemical, biological, nuclear, or explosive (CBRNE) events.</w:t>
      </w:r>
    </w:p>
    <w:p w14:paraId="02F9744C" w14:textId="77777777" w:rsidR="00A0558B" w:rsidRPr="00DE57ED" w:rsidRDefault="00A0558B" w:rsidP="00966AA2">
      <w:pPr>
        <w:pStyle w:val="ListParagraph"/>
        <w:numPr>
          <w:ilvl w:val="0"/>
          <w:numId w:val="44"/>
        </w:numPr>
        <w:spacing w:line="276" w:lineRule="auto"/>
        <w:rPr>
          <w:rFonts w:asciiTheme="minorHAnsi" w:hAnsiTheme="minorHAnsi" w:cstheme="minorHAnsi"/>
          <w:sz w:val="22"/>
          <w:szCs w:val="22"/>
        </w:rPr>
      </w:pPr>
      <w:r w:rsidRPr="00DE57ED">
        <w:rPr>
          <w:rFonts w:asciiTheme="minorHAnsi" w:hAnsiTheme="minorHAnsi" w:cstheme="minorHAnsi"/>
          <w:sz w:val="22"/>
          <w:szCs w:val="22"/>
        </w:rPr>
        <w:t>Understanding the Strategic National Stockpile (SNS).</w:t>
      </w:r>
    </w:p>
    <w:p w14:paraId="36EF37DD" w14:textId="77777777" w:rsidR="0074173A" w:rsidRPr="00D80E40" w:rsidRDefault="00A0558B" w:rsidP="00D80E40">
      <w:pPr>
        <w:pStyle w:val="ListParagraph"/>
        <w:numPr>
          <w:ilvl w:val="0"/>
          <w:numId w:val="44"/>
        </w:numPr>
        <w:spacing w:line="276" w:lineRule="auto"/>
        <w:rPr>
          <w:rFonts w:asciiTheme="minorHAnsi" w:hAnsiTheme="minorHAnsi" w:cstheme="minorHAnsi"/>
          <w:sz w:val="22"/>
          <w:szCs w:val="22"/>
        </w:rPr>
      </w:pPr>
      <w:r w:rsidRPr="00DE57ED">
        <w:rPr>
          <w:rFonts w:asciiTheme="minorHAnsi" w:hAnsiTheme="minorHAnsi" w:cstheme="minorHAnsi"/>
          <w:sz w:val="22"/>
          <w:szCs w:val="22"/>
        </w:rPr>
        <w:t>Considering the social amplification/ attenuation of risk.</w:t>
      </w:r>
    </w:p>
    <w:p w14:paraId="123EF23B" w14:textId="77777777" w:rsidR="00A0558B" w:rsidRPr="00DE57ED" w:rsidRDefault="00A0558B" w:rsidP="00EB7583">
      <w:pPr>
        <w:spacing w:line="276" w:lineRule="auto"/>
        <w:rPr>
          <w:rFonts w:asciiTheme="minorHAnsi" w:hAnsiTheme="minorHAnsi" w:cstheme="minorHAnsi"/>
          <w:b/>
          <w:sz w:val="22"/>
          <w:szCs w:val="22"/>
        </w:rPr>
      </w:pPr>
      <w:r w:rsidRPr="00DE57ED">
        <w:rPr>
          <w:rFonts w:asciiTheme="minorHAnsi" w:hAnsiTheme="minorHAnsi" w:cstheme="minorHAnsi"/>
          <w:b/>
          <w:sz w:val="22"/>
          <w:szCs w:val="22"/>
        </w:rPr>
        <w:t>Week 12: Human Resources, Law and Policy</w:t>
      </w:r>
    </w:p>
    <w:p w14:paraId="13DF7CDB" w14:textId="77777777" w:rsidR="0074173A" w:rsidRPr="00DE57ED" w:rsidRDefault="00A0558B" w:rsidP="0074173A">
      <w:pPr>
        <w:pStyle w:val="ListParagraph"/>
        <w:numPr>
          <w:ilvl w:val="0"/>
          <w:numId w:val="45"/>
        </w:numPr>
        <w:spacing w:line="276" w:lineRule="auto"/>
        <w:rPr>
          <w:rFonts w:asciiTheme="minorHAnsi" w:hAnsiTheme="minorHAnsi" w:cstheme="minorHAnsi"/>
          <w:sz w:val="22"/>
          <w:szCs w:val="22"/>
        </w:rPr>
      </w:pPr>
      <w:r w:rsidRPr="00DE57ED">
        <w:rPr>
          <w:rFonts w:asciiTheme="minorHAnsi" w:hAnsiTheme="minorHAnsi" w:cstheme="minorHAnsi"/>
          <w:sz w:val="22"/>
          <w:szCs w:val="22"/>
        </w:rPr>
        <w:t>Burnout and resilience</w:t>
      </w:r>
      <w:r w:rsidR="0074173A">
        <w:rPr>
          <w:rFonts w:asciiTheme="minorHAnsi" w:hAnsiTheme="minorHAnsi" w:cstheme="minorHAnsi"/>
          <w:sz w:val="22"/>
          <w:szCs w:val="22"/>
        </w:rPr>
        <w:t>;</w:t>
      </w:r>
      <w:r w:rsidRPr="00DE57ED">
        <w:rPr>
          <w:rFonts w:asciiTheme="minorHAnsi" w:hAnsiTheme="minorHAnsi" w:cstheme="minorHAnsi"/>
          <w:sz w:val="22"/>
          <w:szCs w:val="22"/>
        </w:rPr>
        <w:t xml:space="preserve"> </w:t>
      </w:r>
      <w:r w:rsidR="0074173A">
        <w:rPr>
          <w:rFonts w:asciiTheme="minorHAnsi" w:hAnsiTheme="minorHAnsi" w:cstheme="minorHAnsi"/>
          <w:sz w:val="22"/>
          <w:szCs w:val="22"/>
        </w:rPr>
        <w:t>s</w:t>
      </w:r>
      <w:r w:rsidR="0074173A" w:rsidRPr="00DE57ED">
        <w:rPr>
          <w:rFonts w:asciiTheme="minorHAnsi" w:hAnsiTheme="minorHAnsi" w:cstheme="minorHAnsi"/>
          <w:sz w:val="22"/>
          <w:szCs w:val="22"/>
        </w:rPr>
        <w:t xml:space="preserve">urge staffing </w:t>
      </w:r>
    </w:p>
    <w:p w14:paraId="7FC5929B" w14:textId="77777777" w:rsidR="00A0558B" w:rsidRPr="00DE57ED" w:rsidRDefault="00A0558B" w:rsidP="00EB7583">
      <w:pPr>
        <w:pStyle w:val="ListParagraph"/>
        <w:numPr>
          <w:ilvl w:val="0"/>
          <w:numId w:val="45"/>
        </w:numPr>
        <w:spacing w:line="276" w:lineRule="auto"/>
        <w:rPr>
          <w:rFonts w:asciiTheme="minorHAnsi" w:hAnsiTheme="minorHAnsi" w:cstheme="minorHAnsi"/>
          <w:sz w:val="22"/>
          <w:szCs w:val="22"/>
        </w:rPr>
      </w:pPr>
      <w:r w:rsidRPr="00DE57ED">
        <w:rPr>
          <w:rFonts w:asciiTheme="minorHAnsi" w:hAnsiTheme="minorHAnsi" w:cstheme="minorHAnsi"/>
          <w:sz w:val="22"/>
          <w:szCs w:val="22"/>
        </w:rPr>
        <w:t>Inter-agency communication</w:t>
      </w:r>
    </w:p>
    <w:p w14:paraId="59963539" w14:textId="77777777" w:rsidR="00A0558B" w:rsidRPr="00D80E40" w:rsidRDefault="00A0558B" w:rsidP="006D6FA1">
      <w:pPr>
        <w:pStyle w:val="ListParagraph"/>
        <w:numPr>
          <w:ilvl w:val="0"/>
          <w:numId w:val="45"/>
        </w:numPr>
        <w:spacing w:line="276" w:lineRule="auto"/>
        <w:rPr>
          <w:rFonts w:asciiTheme="minorHAnsi" w:hAnsiTheme="minorHAnsi" w:cstheme="minorHAnsi"/>
          <w:sz w:val="22"/>
          <w:szCs w:val="22"/>
        </w:rPr>
      </w:pPr>
      <w:r w:rsidRPr="00DE57ED">
        <w:rPr>
          <w:rFonts w:asciiTheme="minorHAnsi" w:hAnsiTheme="minorHAnsi" w:cstheme="minorHAnsi"/>
          <w:sz w:val="22"/>
          <w:szCs w:val="22"/>
        </w:rPr>
        <w:t>Emergency powers for state and federal agencies</w:t>
      </w:r>
    </w:p>
    <w:p w14:paraId="7284C1B7" w14:textId="77777777" w:rsidR="00A0558B" w:rsidRPr="00D80E40" w:rsidRDefault="00A0558B" w:rsidP="00D80E40">
      <w:pPr>
        <w:spacing w:line="276" w:lineRule="auto"/>
        <w:rPr>
          <w:rFonts w:asciiTheme="minorHAnsi" w:hAnsiTheme="minorHAnsi" w:cstheme="minorHAnsi"/>
          <w:sz w:val="22"/>
          <w:szCs w:val="22"/>
        </w:rPr>
      </w:pPr>
      <w:r w:rsidRPr="00DE57ED">
        <w:rPr>
          <w:rFonts w:asciiTheme="minorHAnsi" w:hAnsiTheme="minorHAnsi" w:cstheme="minorHAnsi"/>
          <w:b/>
          <w:sz w:val="22"/>
          <w:szCs w:val="22"/>
        </w:rPr>
        <w:t>Week 13:</w:t>
      </w:r>
      <w:r w:rsidRPr="00DE57ED">
        <w:rPr>
          <w:rFonts w:asciiTheme="minorHAnsi" w:hAnsiTheme="minorHAnsi" w:cstheme="minorHAnsi"/>
          <w:sz w:val="22"/>
          <w:szCs w:val="22"/>
        </w:rPr>
        <w:t xml:space="preserve"> Final Presentations</w:t>
      </w:r>
    </w:p>
    <w:p w14:paraId="6A088CE7" w14:textId="77777777" w:rsidR="00A0558B" w:rsidRPr="00DE57ED" w:rsidRDefault="00A0558B" w:rsidP="00B50FFA">
      <w:pPr>
        <w:spacing w:line="276" w:lineRule="auto"/>
        <w:rPr>
          <w:rFonts w:asciiTheme="minorHAnsi" w:hAnsiTheme="minorHAnsi" w:cstheme="minorHAnsi"/>
          <w:sz w:val="22"/>
          <w:szCs w:val="22"/>
        </w:rPr>
      </w:pPr>
      <w:r w:rsidRPr="00DE57ED">
        <w:rPr>
          <w:rFonts w:asciiTheme="minorHAnsi" w:hAnsiTheme="minorHAnsi" w:cstheme="minorHAnsi"/>
          <w:b/>
          <w:sz w:val="22"/>
          <w:szCs w:val="22"/>
        </w:rPr>
        <w:t>Week 14</w:t>
      </w:r>
      <w:r w:rsidRPr="00DE57ED">
        <w:rPr>
          <w:rFonts w:asciiTheme="minorHAnsi" w:hAnsiTheme="minorHAnsi" w:cstheme="minorHAnsi"/>
          <w:sz w:val="22"/>
          <w:szCs w:val="22"/>
        </w:rPr>
        <w:t>: Final Presentations.</w:t>
      </w:r>
      <w:r w:rsidRPr="00DE57ED">
        <w:rPr>
          <w:rFonts w:asciiTheme="minorHAnsi" w:hAnsiTheme="minorHAnsi" w:cstheme="minorHAnsi"/>
          <w:b/>
          <w:sz w:val="22"/>
          <w:szCs w:val="22"/>
        </w:rPr>
        <w:t xml:space="preserve"> </w:t>
      </w:r>
      <w:r w:rsidRPr="00DE57ED">
        <w:rPr>
          <w:rFonts w:asciiTheme="minorHAnsi" w:hAnsiTheme="minorHAnsi" w:cstheme="minorHAnsi"/>
          <w:b/>
          <w:sz w:val="22"/>
          <w:szCs w:val="22"/>
        </w:rPr>
        <w:br/>
        <w:t>Week 15</w:t>
      </w:r>
      <w:r w:rsidRPr="00DE57ED">
        <w:rPr>
          <w:rFonts w:asciiTheme="minorHAnsi" w:hAnsiTheme="minorHAnsi" w:cstheme="minorHAnsi"/>
          <w:sz w:val="22"/>
          <w:szCs w:val="22"/>
        </w:rPr>
        <w:t>: Final Presentations.</w:t>
      </w:r>
      <w:r w:rsidRPr="00DE57ED">
        <w:rPr>
          <w:rFonts w:asciiTheme="minorHAnsi" w:hAnsiTheme="minorHAnsi" w:cstheme="minorHAnsi"/>
          <w:b/>
          <w:sz w:val="22"/>
          <w:szCs w:val="22"/>
        </w:rPr>
        <w:t xml:space="preserve"> </w:t>
      </w:r>
      <w:r w:rsidRPr="00DE57ED">
        <w:rPr>
          <w:rFonts w:asciiTheme="minorHAnsi" w:hAnsiTheme="minorHAnsi" w:cstheme="minorHAnsi"/>
          <w:sz w:val="22"/>
          <w:szCs w:val="22"/>
          <w:u w:val="single"/>
        </w:rPr>
        <w:t>Final Projects due</w:t>
      </w:r>
    </w:p>
    <w:p w14:paraId="65126AD5" w14:textId="77777777" w:rsidR="00A0558B" w:rsidRPr="00DE57ED" w:rsidRDefault="00A0558B" w:rsidP="006150DC">
      <w:pPr>
        <w:spacing w:line="276" w:lineRule="auto"/>
        <w:rPr>
          <w:rFonts w:asciiTheme="minorHAnsi" w:hAnsiTheme="minorHAnsi" w:cstheme="minorHAnsi"/>
          <w:b/>
          <w:sz w:val="22"/>
          <w:szCs w:val="22"/>
          <w:lang w:val="en-CA"/>
        </w:rPr>
      </w:pPr>
    </w:p>
    <w:p w14:paraId="0E996352" w14:textId="77777777" w:rsidR="00A0558B" w:rsidRPr="00DE57ED" w:rsidRDefault="00A0558B" w:rsidP="00043DC2">
      <w:pPr>
        <w:jc w:val="center"/>
        <w:rPr>
          <w:rFonts w:asciiTheme="minorHAnsi" w:hAnsiTheme="minorHAnsi" w:cstheme="minorHAnsi"/>
          <w:b/>
          <w:color w:val="000000"/>
          <w:sz w:val="22"/>
          <w:szCs w:val="22"/>
        </w:rPr>
      </w:pPr>
      <w:r w:rsidRPr="00DE57ED">
        <w:rPr>
          <w:rFonts w:asciiTheme="minorHAnsi" w:hAnsiTheme="minorHAnsi" w:cstheme="minorHAnsi"/>
          <w:b/>
          <w:color w:val="000000"/>
          <w:sz w:val="22"/>
          <w:szCs w:val="22"/>
        </w:rPr>
        <w:t>CLASS REQUIREMENTS</w:t>
      </w:r>
    </w:p>
    <w:p w14:paraId="2D83F085" w14:textId="77777777" w:rsidR="00A0558B" w:rsidRPr="00DE57ED" w:rsidRDefault="00A0558B" w:rsidP="00043DC2">
      <w:pPr>
        <w:spacing w:before="100" w:beforeAutospacing="1" w:after="100" w:afterAutospacing="1"/>
        <w:rPr>
          <w:rFonts w:asciiTheme="minorHAnsi" w:hAnsiTheme="minorHAnsi" w:cstheme="minorHAnsi"/>
          <w:sz w:val="22"/>
          <w:szCs w:val="22"/>
          <w:lang w:val="en-CA"/>
        </w:rPr>
      </w:pPr>
      <w:r w:rsidRPr="00DE57ED">
        <w:rPr>
          <w:rFonts w:asciiTheme="minorHAnsi" w:hAnsiTheme="minorHAnsi" w:cstheme="minorHAnsi"/>
          <w:b/>
          <w:iCs/>
          <w:sz w:val="22"/>
          <w:szCs w:val="22"/>
        </w:rPr>
        <w:t>Literacy Requirement</w:t>
      </w:r>
      <w:r w:rsidRPr="00DE57ED">
        <w:rPr>
          <w:rFonts w:asciiTheme="minorHAnsi" w:hAnsiTheme="minorHAnsi" w:cstheme="minorHAnsi"/>
          <w:iCs/>
          <w:sz w:val="22"/>
          <w:szCs w:val="22"/>
          <w:u w:val="single"/>
        </w:rPr>
        <w:br/>
      </w:r>
      <w:r w:rsidRPr="00DE57ED">
        <w:rPr>
          <w:rFonts w:asciiTheme="minorHAnsi" w:hAnsiTheme="minorHAnsi" w:cstheme="minorHAnsi"/>
          <w:iCs/>
          <w:sz w:val="22"/>
          <w:szCs w:val="22"/>
        </w:rPr>
        <w:t xml:space="preserve">This course requires strong, college-level English literacy skills. Students not meeting these basic literacy </w:t>
      </w:r>
      <w:r w:rsidRPr="00DE57ED">
        <w:rPr>
          <w:rFonts w:asciiTheme="minorHAnsi" w:hAnsiTheme="minorHAnsi" w:cstheme="minorHAnsi"/>
          <w:iCs/>
          <w:sz w:val="22"/>
          <w:szCs w:val="22"/>
        </w:rPr>
        <w:lastRenderedPageBreak/>
        <w:t>requirements will be asked to reconsider this course.</w:t>
      </w:r>
      <w:r w:rsidR="0074173A">
        <w:rPr>
          <w:rFonts w:asciiTheme="minorHAnsi" w:hAnsiTheme="minorHAnsi" w:cstheme="minorHAnsi"/>
          <w:iCs/>
          <w:sz w:val="22"/>
          <w:szCs w:val="22"/>
        </w:rPr>
        <w:t xml:space="preserve"> </w:t>
      </w:r>
      <w:r w:rsidRPr="00DE57ED">
        <w:rPr>
          <w:rFonts w:asciiTheme="minorHAnsi" w:hAnsiTheme="minorHAnsi" w:cstheme="minorHAnsi"/>
          <w:sz w:val="22"/>
          <w:szCs w:val="22"/>
          <w:lang w:val="en-CA"/>
        </w:rPr>
        <w:t xml:space="preserve">Writing assistance is available </w:t>
      </w:r>
      <w:r w:rsidR="0074173A">
        <w:rPr>
          <w:rFonts w:asciiTheme="minorHAnsi" w:hAnsiTheme="minorHAnsi" w:cstheme="minorHAnsi"/>
          <w:sz w:val="22"/>
          <w:szCs w:val="22"/>
          <w:lang w:val="en-CA"/>
        </w:rPr>
        <w:t xml:space="preserve">at the </w:t>
      </w:r>
      <w:r w:rsidRPr="00DE57ED">
        <w:rPr>
          <w:rFonts w:asciiTheme="minorHAnsi" w:hAnsiTheme="minorHAnsi" w:cstheme="minorHAnsi"/>
          <w:sz w:val="22"/>
          <w:szCs w:val="22"/>
          <w:lang w:val="en-CA"/>
        </w:rPr>
        <w:t>Atrium Learning Center</w:t>
      </w:r>
      <w:r w:rsidR="0074173A">
        <w:rPr>
          <w:rFonts w:asciiTheme="minorHAnsi" w:hAnsiTheme="minorHAnsi" w:cstheme="minorHAnsi"/>
          <w:sz w:val="22"/>
          <w:szCs w:val="22"/>
          <w:lang w:val="en-CA"/>
        </w:rPr>
        <w:t xml:space="preserve">, </w:t>
      </w:r>
      <w:r w:rsidRPr="00DE57ED">
        <w:rPr>
          <w:rFonts w:asciiTheme="minorHAnsi" w:hAnsiTheme="minorHAnsi" w:cstheme="minorHAnsi"/>
          <w:sz w:val="22"/>
          <w:szCs w:val="22"/>
          <w:lang w:val="en-CA"/>
        </w:rPr>
        <w:t>Atrium G18</w:t>
      </w:r>
      <w:r w:rsidR="0074173A">
        <w:rPr>
          <w:rFonts w:asciiTheme="minorHAnsi" w:hAnsiTheme="minorHAnsi" w:cstheme="minorHAnsi"/>
          <w:sz w:val="22"/>
          <w:szCs w:val="22"/>
          <w:lang w:val="en-CA"/>
        </w:rPr>
        <w:t xml:space="preserve">, </w:t>
      </w:r>
      <w:r w:rsidRPr="00DE57ED">
        <w:rPr>
          <w:rFonts w:asciiTheme="minorHAnsi" w:hAnsiTheme="minorHAnsi" w:cstheme="minorHAnsi"/>
          <w:sz w:val="22"/>
          <w:szCs w:val="22"/>
          <w:lang w:val="en-CA"/>
        </w:rPr>
        <w:t>718-260-5874</w:t>
      </w:r>
    </w:p>
    <w:p w14:paraId="39AEECD8" w14:textId="77777777" w:rsidR="00A0558B" w:rsidRPr="00D80E40" w:rsidRDefault="00A0558B" w:rsidP="005F4066">
      <w:pPr>
        <w:spacing w:before="100" w:beforeAutospacing="1" w:after="100" w:afterAutospacing="1"/>
        <w:rPr>
          <w:rFonts w:asciiTheme="minorHAnsi" w:hAnsiTheme="minorHAnsi" w:cstheme="minorHAnsi"/>
          <w:sz w:val="22"/>
          <w:szCs w:val="22"/>
        </w:rPr>
      </w:pPr>
      <w:r w:rsidRPr="00DE57ED">
        <w:rPr>
          <w:rFonts w:asciiTheme="minorHAnsi" w:hAnsiTheme="minorHAnsi" w:cstheme="minorHAnsi"/>
          <w:b/>
          <w:sz w:val="22"/>
          <w:szCs w:val="22"/>
          <w:lang w:val="en-CA"/>
        </w:rPr>
        <w:t>Technology Requirements</w:t>
      </w:r>
      <w:r w:rsidR="00D80E40">
        <w:rPr>
          <w:rFonts w:asciiTheme="minorHAnsi" w:hAnsiTheme="minorHAnsi" w:cstheme="minorHAnsi"/>
          <w:b/>
          <w:sz w:val="22"/>
          <w:szCs w:val="22"/>
          <w:lang w:val="en-CA"/>
        </w:rPr>
        <w:t xml:space="preserve"> and Support</w:t>
      </w:r>
      <w:r w:rsidRPr="00DE57ED">
        <w:rPr>
          <w:rFonts w:asciiTheme="minorHAnsi" w:hAnsiTheme="minorHAnsi" w:cstheme="minorHAnsi"/>
          <w:sz w:val="22"/>
          <w:szCs w:val="22"/>
          <w:u w:val="single"/>
          <w:lang w:val="en-CA"/>
        </w:rPr>
        <w:br/>
      </w:r>
      <w:r w:rsidRPr="00DE57ED">
        <w:rPr>
          <w:rFonts w:asciiTheme="minorHAnsi" w:hAnsiTheme="minorHAnsi" w:cstheme="minorHAnsi"/>
          <w:iCs/>
          <w:sz w:val="22"/>
          <w:szCs w:val="22"/>
        </w:rPr>
        <w:t xml:space="preserve">This class requires the use of </w:t>
      </w:r>
      <w:r w:rsidRPr="00DE57ED">
        <w:rPr>
          <w:rFonts w:asciiTheme="minorHAnsi" w:hAnsiTheme="minorHAnsi" w:cstheme="minorHAnsi"/>
          <w:sz w:val="22"/>
          <w:szCs w:val="22"/>
        </w:rPr>
        <w:t>Microsoft Office Software. A basic familiarity with Microsoft Word and Microsoft PowerPoint is required. This normally $200 software package is available to you for FREE as a CUNY student. See the instructions on Blackboard.</w:t>
      </w:r>
      <w:r w:rsidR="00D80E40">
        <w:rPr>
          <w:rFonts w:asciiTheme="minorHAnsi" w:hAnsiTheme="minorHAnsi" w:cstheme="minorHAnsi"/>
          <w:sz w:val="22"/>
          <w:szCs w:val="22"/>
        </w:rPr>
        <w:t xml:space="preserve"> </w:t>
      </w:r>
      <w:r w:rsidRPr="00DE57ED">
        <w:rPr>
          <w:rStyle w:val="Hyperlink"/>
          <w:rFonts w:asciiTheme="minorHAnsi" w:hAnsiTheme="minorHAnsi" w:cstheme="minorHAnsi"/>
          <w:b/>
          <w:color w:val="auto"/>
          <w:sz w:val="22"/>
          <w:szCs w:val="22"/>
          <w:u w:val="none"/>
          <w:lang w:val="en-CA"/>
        </w:rPr>
        <w:t>iTec</w:t>
      </w:r>
      <w:r w:rsidRPr="00DE57ED">
        <w:rPr>
          <w:rFonts w:asciiTheme="minorHAnsi" w:hAnsiTheme="minorHAnsi" w:cstheme="minorHAnsi"/>
          <w:b/>
          <w:sz w:val="22"/>
          <w:szCs w:val="22"/>
          <w:lang w:val="en-CA"/>
        </w:rPr>
        <w:t xml:space="preserve"> </w:t>
      </w:r>
      <w:proofErr w:type="gramStart"/>
      <w:r w:rsidR="00D80E40">
        <w:rPr>
          <w:rFonts w:asciiTheme="minorHAnsi" w:hAnsiTheme="minorHAnsi" w:cstheme="minorHAnsi"/>
          <w:sz w:val="22"/>
          <w:szCs w:val="22"/>
          <w:lang w:val="en-CA"/>
        </w:rPr>
        <w:t>provides</w:t>
      </w:r>
      <w:r w:rsidRPr="00DE57ED">
        <w:rPr>
          <w:rFonts w:asciiTheme="minorHAnsi" w:hAnsiTheme="minorHAnsi" w:cstheme="minorHAnsi"/>
          <w:sz w:val="22"/>
          <w:szCs w:val="22"/>
          <w:lang w:val="en-CA"/>
        </w:rPr>
        <w:t xml:space="preserve"> assistance </w:t>
      </w:r>
      <w:r w:rsidR="00D80E40">
        <w:rPr>
          <w:rFonts w:asciiTheme="minorHAnsi" w:hAnsiTheme="minorHAnsi" w:cstheme="minorHAnsi"/>
          <w:sz w:val="22"/>
          <w:szCs w:val="22"/>
          <w:lang w:val="en-CA"/>
        </w:rPr>
        <w:t>for</w:t>
      </w:r>
      <w:proofErr w:type="gramEnd"/>
      <w:r w:rsidR="00D80E40">
        <w:rPr>
          <w:rFonts w:asciiTheme="minorHAnsi" w:hAnsiTheme="minorHAnsi" w:cstheme="minorHAnsi"/>
          <w:sz w:val="22"/>
          <w:szCs w:val="22"/>
          <w:lang w:val="en-CA"/>
        </w:rPr>
        <w:t xml:space="preserve"> </w:t>
      </w:r>
      <w:r w:rsidRPr="00DE57ED">
        <w:rPr>
          <w:rFonts w:asciiTheme="minorHAnsi" w:hAnsiTheme="minorHAnsi" w:cstheme="minorHAnsi"/>
          <w:sz w:val="22"/>
          <w:szCs w:val="22"/>
          <w:lang w:val="en-CA"/>
        </w:rPr>
        <w:t>technology needs:</w:t>
      </w:r>
      <w:r w:rsidRPr="00DE57ED">
        <w:rPr>
          <w:rFonts w:asciiTheme="minorHAnsi" w:hAnsiTheme="minorHAnsi" w:cstheme="minorHAnsi"/>
          <w:sz w:val="22"/>
          <w:szCs w:val="22"/>
        </w:rPr>
        <w:t xml:space="preserve"> Room G601 (718)-254-8565</w:t>
      </w:r>
      <w:r w:rsidR="000021B7" w:rsidRPr="00DE57ED">
        <w:rPr>
          <w:rFonts w:asciiTheme="minorHAnsi" w:hAnsiTheme="minorHAnsi" w:cstheme="minorHAnsi"/>
          <w:sz w:val="22"/>
          <w:szCs w:val="22"/>
        </w:rPr>
        <w:t xml:space="preserve">. Email: </w:t>
      </w:r>
      <w:r w:rsidRPr="00DE57ED">
        <w:rPr>
          <w:rStyle w:val="Hyperlink"/>
          <w:rFonts w:asciiTheme="minorHAnsi" w:hAnsiTheme="minorHAnsi" w:cstheme="minorHAnsi"/>
          <w:color w:val="auto"/>
          <w:sz w:val="22"/>
          <w:szCs w:val="22"/>
          <w:u w:val="none"/>
        </w:rPr>
        <w:t>itec@citytech.cuny.edu</w:t>
      </w:r>
      <w:r w:rsidRPr="00DE57ED">
        <w:rPr>
          <w:rFonts w:asciiTheme="minorHAnsi" w:hAnsiTheme="minorHAnsi" w:cstheme="minorHAnsi"/>
          <w:sz w:val="22"/>
          <w:szCs w:val="22"/>
        </w:rPr>
        <w:br/>
        <w:t xml:space="preserve">Website: </w:t>
      </w:r>
      <w:hyperlink r:id="rId9" w:history="1">
        <w:r w:rsidRPr="00DE57ED">
          <w:rPr>
            <w:rStyle w:val="Hyperlink"/>
            <w:rFonts w:asciiTheme="minorHAnsi" w:hAnsiTheme="minorHAnsi" w:cstheme="minorHAnsi"/>
            <w:sz w:val="22"/>
            <w:szCs w:val="22"/>
            <w:lang w:val="en-CA"/>
          </w:rPr>
          <w:t>http://websupport1.citytech.cuny.edu/index.html</w:t>
        </w:r>
      </w:hyperlink>
    </w:p>
    <w:p w14:paraId="06C0DBBC" w14:textId="77777777" w:rsidR="00A0558B" w:rsidRPr="00DE57ED" w:rsidRDefault="00A0558B" w:rsidP="00043DC2">
      <w:pPr>
        <w:pStyle w:val="ListParagraph"/>
        <w:ind w:left="0"/>
        <w:jc w:val="center"/>
        <w:rPr>
          <w:rFonts w:asciiTheme="minorHAnsi" w:hAnsiTheme="minorHAnsi" w:cstheme="minorHAnsi"/>
          <w:b/>
          <w:sz w:val="22"/>
          <w:szCs w:val="22"/>
        </w:rPr>
      </w:pPr>
      <w:r w:rsidRPr="00DE57ED">
        <w:rPr>
          <w:rFonts w:asciiTheme="minorHAnsi" w:hAnsiTheme="minorHAnsi" w:cstheme="minorHAnsi"/>
          <w:b/>
          <w:sz w:val="22"/>
          <w:szCs w:val="22"/>
        </w:rPr>
        <w:t>CLASS POLICIES</w:t>
      </w:r>
    </w:p>
    <w:p w14:paraId="2FBA76CB" w14:textId="77777777" w:rsidR="00A0558B" w:rsidRPr="00DE57ED" w:rsidRDefault="00A0558B" w:rsidP="00043DC2">
      <w:pPr>
        <w:rPr>
          <w:rFonts w:asciiTheme="minorHAnsi" w:hAnsiTheme="minorHAnsi" w:cstheme="minorHAnsi"/>
          <w:sz w:val="22"/>
          <w:szCs w:val="22"/>
        </w:rPr>
      </w:pPr>
    </w:p>
    <w:p w14:paraId="1F6C05C4" w14:textId="77777777" w:rsidR="00A0558B" w:rsidRPr="00DE57ED" w:rsidRDefault="00A0558B" w:rsidP="00043DC2">
      <w:pPr>
        <w:autoSpaceDE w:val="0"/>
        <w:autoSpaceDN w:val="0"/>
        <w:adjustRightInd w:val="0"/>
        <w:rPr>
          <w:rFonts w:asciiTheme="minorHAnsi" w:hAnsiTheme="minorHAnsi" w:cstheme="minorHAnsi"/>
          <w:sz w:val="22"/>
          <w:szCs w:val="22"/>
        </w:rPr>
      </w:pPr>
      <w:r w:rsidRPr="00DE57ED">
        <w:rPr>
          <w:rFonts w:asciiTheme="minorHAnsi" w:hAnsiTheme="minorHAnsi" w:cstheme="minorHAnsi"/>
          <w:b/>
          <w:sz w:val="22"/>
          <w:szCs w:val="22"/>
        </w:rPr>
        <w:t>HUMANITIES DEPARTMENT ATTENDANCE POLICY</w:t>
      </w:r>
      <w:r w:rsidRPr="00DE57ED">
        <w:rPr>
          <w:rFonts w:asciiTheme="minorHAnsi" w:hAnsiTheme="minorHAnsi" w:cstheme="minorHAnsi"/>
          <w:b/>
          <w:sz w:val="22"/>
          <w:szCs w:val="22"/>
        </w:rPr>
        <w:br/>
      </w:r>
      <w:r w:rsidRPr="00DE57ED">
        <w:rPr>
          <w:rFonts w:asciiTheme="minorHAnsi" w:hAnsiTheme="minorHAnsi" w:cstheme="minorHAnsi"/>
          <w:sz w:val="22"/>
          <w:szCs w:val="22"/>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Note: Each professor will keep accurate, detailed records of students’ attendance.</w:t>
      </w:r>
    </w:p>
    <w:p w14:paraId="0E25F6A4" w14:textId="77777777" w:rsidR="00A0558B" w:rsidRPr="00DE57ED" w:rsidRDefault="00A0558B" w:rsidP="00043DC2">
      <w:pPr>
        <w:autoSpaceDE w:val="0"/>
        <w:autoSpaceDN w:val="0"/>
        <w:adjustRightInd w:val="0"/>
        <w:rPr>
          <w:rFonts w:asciiTheme="minorHAnsi" w:hAnsiTheme="minorHAnsi" w:cstheme="minorHAnsi"/>
          <w:b/>
          <w:bCs/>
          <w:kern w:val="36"/>
          <w:sz w:val="22"/>
          <w:szCs w:val="22"/>
        </w:rPr>
      </w:pPr>
    </w:p>
    <w:p w14:paraId="61739B29" w14:textId="77777777" w:rsidR="00A0558B" w:rsidRPr="00DE57ED" w:rsidRDefault="00A0558B" w:rsidP="00043DC2">
      <w:pPr>
        <w:autoSpaceDE w:val="0"/>
        <w:autoSpaceDN w:val="0"/>
        <w:adjustRightInd w:val="0"/>
        <w:rPr>
          <w:rFonts w:asciiTheme="minorHAnsi" w:hAnsiTheme="minorHAnsi" w:cstheme="minorHAnsi"/>
          <w:b/>
          <w:bCs/>
          <w:color w:val="000000"/>
          <w:sz w:val="22"/>
          <w:szCs w:val="22"/>
        </w:rPr>
      </w:pPr>
      <w:r w:rsidRPr="00DE57ED">
        <w:rPr>
          <w:rFonts w:asciiTheme="minorHAnsi" w:hAnsiTheme="minorHAnsi" w:cstheme="minorHAnsi"/>
          <w:b/>
          <w:bCs/>
          <w:kern w:val="36"/>
          <w:sz w:val="22"/>
          <w:szCs w:val="22"/>
        </w:rPr>
        <w:t>Academic Integrity at City Tech</w:t>
      </w:r>
      <w:r w:rsidRPr="00DE57ED">
        <w:rPr>
          <w:rFonts w:asciiTheme="minorHAnsi" w:hAnsiTheme="minorHAnsi" w:cstheme="minorHAnsi"/>
          <w:b/>
          <w:bCs/>
          <w:kern w:val="36"/>
          <w:sz w:val="22"/>
          <w:szCs w:val="22"/>
        </w:rPr>
        <w:br/>
      </w:r>
      <w:r w:rsidRPr="00DE57ED">
        <w:rPr>
          <w:rFonts w:asciiTheme="minorHAnsi" w:hAnsiTheme="minorHAnsi" w:cstheme="minorHAns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(NYCCT Academic Integrity Policy).</w:t>
      </w:r>
      <w:r w:rsidRPr="00DE57ED">
        <w:rPr>
          <w:rFonts w:asciiTheme="minorHAnsi" w:hAnsiTheme="minorHAnsi" w:cstheme="minorHAnsi"/>
          <w:b/>
          <w:bCs/>
          <w:kern w:val="36"/>
          <w:sz w:val="22"/>
          <w:szCs w:val="22"/>
        </w:rPr>
        <w:t xml:space="preserve">  </w:t>
      </w:r>
    </w:p>
    <w:p w14:paraId="2B146CD5" w14:textId="77777777" w:rsidR="0074173A" w:rsidRPr="00DE57ED" w:rsidRDefault="0074173A" w:rsidP="0074173A">
      <w:pPr>
        <w:autoSpaceDE w:val="0"/>
        <w:autoSpaceDN w:val="0"/>
        <w:adjustRightInd w:val="0"/>
        <w:rPr>
          <w:rFonts w:asciiTheme="minorHAnsi" w:hAnsiTheme="minorHAnsi" w:cstheme="minorHAnsi"/>
          <w:b/>
          <w:bCs/>
          <w:color w:val="000000"/>
          <w:sz w:val="22"/>
          <w:szCs w:val="22"/>
        </w:rPr>
      </w:pPr>
    </w:p>
    <w:p w14:paraId="499FE14C" w14:textId="77777777" w:rsidR="00A0558B" w:rsidRPr="00DE57ED" w:rsidRDefault="00A0558B" w:rsidP="00043DC2">
      <w:pPr>
        <w:autoSpaceDE w:val="0"/>
        <w:autoSpaceDN w:val="0"/>
        <w:adjustRightInd w:val="0"/>
        <w:rPr>
          <w:rFonts w:asciiTheme="minorHAnsi" w:hAnsiTheme="minorHAnsi" w:cstheme="minorHAnsi"/>
          <w:sz w:val="22"/>
          <w:szCs w:val="22"/>
        </w:rPr>
      </w:pPr>
      <w:r w:rsidRPr="00DE57ED">
        <w:rPr>
          <w:rFonts w:asciiTheme="minorHAnsi" w:hAnsiTheme="minorHAnsi" w:cstheme="minorHAnsi"/>
          <w:b/>
          <w:bCs/>
          <w:color w:val="000000"/>
          <w:sz w:val="22"/>
          <w:szCs w:val="22"/>
        </w:rPr>
        <w:t>Reasonable Accommodation:</w:t>
      </w:r>
      <w:r w:rsidRPr="00DE57ED">
        <w:rPr>
          <w:rFonts w:asciiTheme="minorHAnsi" w:hAnsiTheme="minorHAnsi" w:cstheme="minorHAnsi"/>
          <w:b/>
          <w:bCs/>
          <w:color w:val="000000"/>
          <w:sz w:val="22"/>
          <w:szCs w:val="22"/>
        </w:rPr>
        <w:br/>
      </w:r>
      <w:r w:rsidRPr="00DE57ED">
        <w:rPr>
          <w:rFonts w:asciiTheme="minorHAnsi" w:hAnsiTheme="minorHAnsi" w:cstheme="minorHAnsi"/>
          <w:color w:val="000000"/>
          <w:sz w:val="22"/>
          <w:szCs w:val="22"/>
        </w:rPr>
        <w:t>The Humanities Department is committed to providing reasonable accommodation to students with disabilities. Any student who has a disability that may prevent him or her from fully demonstrating his or her abilities should contact me personally so we can discuss accommodations necessary to ensure full participation and to maximize educational opportunities.</w:t>
      </w:r>
      <w:r w:rsidRPr="00DE57ED">
        <w:rPr>
          <w:rFonts w:asciiTheme="minorHAnsi" w:hAnsiTheme="minorHAnsi" w:cstheme="minorHAnsi"/>
          <w:b/>
          <w:sz w:val="22"/>
          <w:szCs w:val="22"/>
        </w:rPr>
        <w:t xml:space="preserve"> </w:t>
      </w:r>
      <w:r w:rsidRPr="00DE57ED">
        <w:rPr>
          <w:rFonts w:asciiTheme="minorHAnsi" w:hAnsiTheme="minorHAnsi" w:cstheme="minorHAnsi"/>
          <w:sz w:val="22"/>
          <w:szCs w:val="22"/>
        </w:rPr>
        <w:t>For more information, contact the Center for Student Accessibility</w:t>
      </w:r>
      <w:r w:rsidRPr="00DE57ED">
        <w:rPr>
          <w:rFonts w:asciiTheme="minorHAnsi" w:hAnsiTheme="minorHAnsi" w:cstheme="minorHAnsi"/>
          <w:b/>
          <w:sz w:val="22"/>
          <w:szCs w:val="22"/>
        </w:rPr>
        <w:t xml:space="preserve"> </w:t>
      </w:r>
      <w:r w:rsidRPr="00DE57ED">
        <w:rPr>
          <w:rFonts w:asciiTheme="minorHAnsi" w:hAnsiTheme="minorHAnsi" w:cstheme="minorHAnsi"/>
          <w:sz w:val="22"/>
          <w:szCs w:val="22"/>
        </w:rPr>
        <w:t>in N108, or call the Program Manager John Reid Currie at (718)260-5143</w:t>
      </w:r>
    </w:p>
    <w:p w14:paraId="15930A1C" w14:textId="77777777" w:rsidR="00A0558B" w:rsidRPr="00DE57ED" w:rsidRDefault="00A0558B" w:rsidP="00043DC2">
      <w:pPr>
        <w:rPr>
          <w:rFonts w:asciiTheme="minorHAnsi" w:hAnsiTheme="minorHAnsi" w:cstheme="minorHAnsi"/>
          <w:b/>
          <w:sz w:val="22"/>
          <w:szCs w:val="22"/>
        </w:rPr>
      </w:pPr>
    </w:p>
    <w:p w14:paraId="44F7A46C" w14:textId="77777777" w:rsidR="00A0558B" w:rsidRPr="00DE57ED" w:rsidRDefault="00A0558B" w:rsidP="00B50FFA">
      <w:pPr>
        <w:rPr>
          <w:rStyle w:val="Strong"/>
          <w:rFonts w:asciiTheme="minorHAnsi" w:hAnsiTheme="minorHAnsi" w:cstheme="minorHAnsi"/>
          <w:b w:val="0"/>
          <w:sz w:val="22"/>
          <w:szCs w:val="22"/>
        </w:rPr>
      </w:pPr>
      <w:r w:rsidRPr="00DE57ED">
        <w:rPr>
          <w:rFonts w:asciiTheme="minorHAnsi" w:hAnsiTheme="minorHAnsi" w:cstheme="minorHAnsi"/>
          <w:b/>
          <w:sz w:val="22"/>
          <w:szCs w:val="22"/>
        </w:rPr>
        <w:t>Humanities Department Commitment to Student Diversity</w:t>
      </w:r>
      <w:r w:rsidRPr="00DE57ED">
        <w:rPr>
          <w:rFonts w:asciiTheme="minorHAnsi" w:hAnsiTheme="minorHAnsi" w:cstheme="minorHAnsi"/>
          <w:sz w:val="22"/>
          <w:szCs w:val="22"/>
        </w:rPr>
        <w:t>: 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w:t>
      </w:r>
      <w:bookmarkEnd w:id="0"/>
      <w:bookmarkEnd w:id="1"/>
    </w:p>
    <w:p w14:paraId="6B6B8B50" w14:textId="77777777" w:rsidR="00A0558B" w:rsidRPr="00DE57ED" w:rsidRDefault="00A0558B" w:rsidP="00B50FFA">
      <w:pPr>
        <w:rPr>
          <w:rStyle w:val="Strong"/>
          <w:rFonts w:asciiTheme="minorHAnsi" w:hAnsiTheme="minorHAnsi" w:cstheme="minorHAnsi"/>
          <w:b w:val="0"/>
          <w:bCs/>
          <w:sz w:val="22"/>
          <w:szCs w:val="22"/>
        </w:rPr>
      </w:pPr>
    </w:p>
    <w:p w14:paraId="17CC723A" w14:textId="77777777" w:rsidR="00A0558B" w:rsidRPr="00DE57ED" w:rsidRDefault="00A0558B" w:rsidP="00B50FFA">
      <w:pPr>
        <w:rPr>
          <w:rStyle w:val="Strong"/>
          <w:rFonts w:asciiTheme="minorHAnsi" w:hAnsiTheme="minorHAnsi" w:cstheme="minorHAnsi"/>
          <w:b w:val="0"/>
          <w:bCs/>
          <w:sz w:val="22"/>
          <w:szCs w:val="22"/>
        </w:rPr>
      </w:pPr>
    </w:p>
    <w:p w14:paraId="1946DFC8" w14:textId="77777777" w:rsidR="005F4066" w:rsidRPr="00DE57ED" w:rsidRDefault="005F4066" w:rsidP="00B50FFA">
      <w:pPr>
        <w:rPr>
          <w:rStyle w:val="Strong"/>
          <w:rFonts w:asciiTheme="minorHAnsi" w:hAnsiTheme="minorHAnsi" w:cstheme="minorHAnsi"/>
          <w:bCs/>
          <w:sz w:val="22"/>
          <w:szCs w:val="22"/>
        </w:rPr>
      </w:pPr>
    </w:p>
    <w:p w14:paraId="4F03C4C9" w14:textId="77777777" w:rsidR="005F4066" w:rsidRDefault="005F4066" w:rsidP="00B50FFA">
      <w:pPr>
        <w:rPr>
          <w:rStyle w:val="Strong"/>
          <w:rFonts w:asciiTheme="minorHAnsi" w:hAnsiTheme="minorHAnsi" w:cstheme="minorHAnsi"/>
          <w:bCs/>
          <w:sz w:val="22"/>
          <w:szCs w:val="22"/>
        </w:rPr>
      </w:pPr>
    </w:p>
    <w:p w14:paraId="5EA137A6" w14:textId="77777777" w:rsidR="0074173A" w:rsidRDefault="0074173A" w:rsidP="00B50FFA">
      <w:pPr>
        <w:rPr>
          <w:rStyle w:val="Strong"/>
          <w:rFonts w:asciiTheme="minorHAnsi" w:hAnsiTheme="minorHAnsi" w:cstheme="minorHAnsi"/>
          <w:bCs/>
          <w:sz w:val="22"/>
          <w:szCs w:val="22"/>
        </w:rPr>
      </w:pPr>
    </w:p>
    <w:p w14:paraId="69E0B2F8" w14:textId="77777777" w:rsidR="00D80E40" w:rsidRDefault="00D80E40" w:rsidP="00B50FFA">
      <w:pPr>
        <w:rPr>
          <w:rStyle w:val="Strong"/>
          <w:rFonts w:asciiTheme="minorHAnsi" w:hAnsiTheme="minorHAnsi" w:cstheme="minorHAnsi"/>
          <w:bCs/>
          <w:sz w:val="22"/>
          <w:szCs w:val="22"/>
        </w:rPr>
      </w:pPr>
    </w:p>
    <w:p w14:paraId="6C3EC1DC" w14:textId="77777777" w:rsidR="00A0558B" w:rsidRPr="00DE57ED" w:rsidRDefault="00A0558B" w:rsidP="00B50FFA">
      <w:pPr>
        <w:rPr>
          <w:rStyle w:val="Strong"/>
          <w:rFonts w:asciiTheme="minorHAnsi" w:hAnsiTheme="minorHAnsi" w:cstheme="minorHAnsi"/>
          <w:bCs/>
          <w:sz w:val="22"/>
          <w:szCs w:val="22"/>
        </w:rPr>
      </w:pPr>
      <w:r w:rsidRPr="00DE57ED">
        <w:rPr>
          <w:rStyle w:val="Strong"/>
          <w:rFonts w:asciiTheme="minorHAnsi" w:hAnsiTheme="minorHAnsi" w:cstheme="minorHAnsi"/>
          <w:bCs/>
          <w:sz w:val="22"/>
          <w:szCs w:val="22"/>
        </w:rPr>
        <w:lastRenderedPageBreak/>
        <w:t>References</w:t>
      </w:r>
    </w:p>
    <w:p w14:paraId="3EA01919" w14:textId="77777777" w:rsidR="00A0558B" w:rsidRPr="00DE57ED" w:rsidRDefault="00A0558B" w:rsidP="00B50FFA">
      <w:pPr>
        <w:rPr>
          <w:rStyle w:val="Strong"/>
          <w:rFonts w:asciiTheme="minorHAnsi" w:hAnsiTheme="minorHAnsi" w:cstheme="minorHAnsi"/>
          <w:bCs/>
          <w:sz w:val="22"/>
          <w:szCs w:val="22"/>
        </w:rPr>
      </w:pPr>
    </w:p>
    <w:p w14:paraId="1EEF9772"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2" w:name="_ENREF_1"/>
      <w:bookmarkStart w:id="3" w:name="_Hlk520214998"/>
      <w:r w:rsidRPr="00DE57ED">
        <w:rPr>
          <w:rStyle w:val="Strong"/>
          <w:rFonts w:asciiTheme="minorHAnsi" w:hAnsiTheme="minorHAnsi" w:cstheme="minorHAnsi"/>
          <w:b w:val="0"/>
          <w:bCs/>
          <w:noProof/>
          <w:sz w:val="22"/>
          <w:szCs w:val="22"/>
        </w:rPr>
        <w:t xml:space="preserve">Buzzelli, M. M., Morgan, P., Muschek, A. G., &amp; Macgregor-Skinner, G. (2014). Information and communication technology: connecting the public and first responders during disasters. </w:t>
      </w:r>
      <w:r w:rsidRPr="00DE57ED">
        <w:rPr>
          <w:rStyle w:val="Strong"/>
          <w:rFonts w:asciiTheme="minorHAnsi" w:hAnsiTheme="minorHAnsi" w:cstheme="minorHAnsi"/>
          <w:b w:val="0"/>
          <w:bCs/>
          <w:i/>
          <w:noProof/>
          <w:sz w:val="22"/>
          <w:szCs w:val="22"/>
        </w:rPr>
        <w:t>Journal of Emergency Management, 12</w:t>
      </w:r>
      <w:r w:rsidRPr="00DE57ED">
        <w:rPr>
          <w:rStyle w:val="Strong"/>
          <w:rFonts w:asciiTheme="minorHAnsi" w:hAnsiTheme="minorHAnsi" w:cstheme="minorHAnsi"/>
          <w:b w:val="0"/>
          <w:bCs/>
          <w:noProof/>
          <w:sz w:val="22"/>
          <w:szCs w:val="22"/>
        </w:rPr>
        <w:t>(6), 441-447. doi: 10.5055/jem.2014.0207</w:t>
      </w:r>
      <w:bookmarkEnd w:id="2"/>
    </w:p>
    <w:p w14:paraId="6891AF34"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4" w:name="_ENREF_2"/>
      <w:r w:rsidRPr="00DE57ED">
        <w:rPr>
          <w:rStyle w:val="Strong"/>
          <w:rFonts w:asciiTheme="minorHAnsi" w:hAnsiTheme="minorHAnsi" w:cstheme="minorHAnsi"/>
          <w:b w:val="0"/>
          <w:bCs/>
          <w:noProof/>
          <w:sz w:val="22"/>
          <w:szCs w:val="22"/>
        </w:rPr>
        <w:t xml:space="preserve">Coombs, W. T. (2012). </w:t>
      </w:r>
      <w:r w:rsidRPr="00DE57ED">
        <w:rPr>
          <w:rStyle w:val="Strong"/>
          <w:rFonts w:asciiTheme="minorHAnsi" w:hAnsiTheme="minorHAnsi" w:cstheme="minorHAnsi"/>
          <w:b w:val="0"/>
          <w:bCs/>
          <w:i/>
          <w:noProof/>
          <w:sz w:val="22"/>
          <w:szCs w:val="22"/>
        </w:rPr>
        <w:t>Ongoing crisis communication: Planning, managing, and responding</w:t>
      </w:r>
      <w:r w:rsidRPr="00DE57ED">
        <w:rPr>
          <w:rStyle w:val="Strong"/>
          <w:rFonts w:asciiTheme="minorHAnsi" w:hAnsiTheme="minorHAnsi" w:cstheme="minorHAnsi"/>
          <w:b w:val="0"/>
          <w:bCs/>
          <w:noProof/>
          <w:sz w:val="22"/>
          <w:szCs w:val="22"/>
        </w:rPr>
        <w:t xml:space="preserve"> (3rd ed.). Thousand Oaks, Calif.: Sage Publications.</w:t>
      </w:r>
      <w:bookmarkEnd w:id="4"/>
    </w:p>
    <w:p w14:paraId="37FB3FF9"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5" w:name="_ENREF_3"/>
      <w:r w:rsidRPr="00DE57ED">
        <w:rPr>
          <w:rStyle w:val="Strong"/>
          <w:rFonts w:asciiTheme="minorHAnsi" w:hAnsiTheme="minorHAnsi" w:cstheme="minorHAnsi"/>
          <w:b w:val="0"/>
          <w:bCs/>
          <w:noProof/>
          <w:sz w:val="22"/>
          <w:szCs w:val="22"/>
        </w:rPr>
        <w:t xml:space="preserve">de Vries, S. T., Denig, P., Lasheras Ruiz, C., Houyez, F., Wong, L., Sutcliffe, A., &amp; Mol, P. G. M. (2018). Interest in a Mobile App for Two-Way Risk Communication: A Survey Study Among European Healthcare Professionals and Patients. </w:t>
      </w:r>
      <w:r w:rsidRPr="00DE57ED">
        <w:rPr>
          <w:rStyle w:val="Strong"/>
          <w:rFonts w:asciiTheme="minorHAnsi" w:hAnsiTheme="minorHAnsi" w:cstheme="minorHAnsi"/>
          <w:b w:val="0"/>
          <w:bCs/>
          <w:i/>
          <w:noProof/>
          <w:sz w:val="22"/>
          <w:szCs w:val="22"/>
        </w:rPr>
        <w:t>Drug Safety, 41</w:t>
      </w:r>
      <w:r w:rsidRPr="00DE57ED">
        <w:rPr>
          <w:rStyle w:val="Strong"/>
          <w:rFonts w:asciiTheme="minorHAnsi" w:hAnsiTheme="minorHAnsi" w:cstheme="minorHAnsi"/>
          <w:b w:val="0"/>
          <w:bCs/>
          <w:noProof/>
          <w:sz w:val="22"/>
          <w:szCs w:val="22"/>
        </w:rPr>
        <w:t>(7), 697-712. doi: 10.1007/s40264-018-0648-0</w:t>
      </w:r>
    </w:p>
    <w:p w14:paraId="3CD20461"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6" w:name="_ENREF_4"/>
      <w:bookmarkEnd w:id="5"/>
      <w:r w:rsidRPr="00DE57ED">
        <w:rPr>
          <w:rStyle w:val="Strong"/>
          <w:rFonts w:asciiTheme="minorHAnsi" w:hAnsiTheme="minorHAnsi" w:cstheme="minorHAnsi"/>
          <w:b w:val="0"/>
          <w:bCs/>
          <w:noProof/>
          <w:sz w:val="22"/>
          <w:szCs w:val="22"/>
        </w:rPr>
        <w:t xml:space="preserve">Eckert, S., Sopory, P., Day, A., Wilkins, L., Padgett, D., Novak, J., . . . Gamhewage, G. (2017). Health-Related Disaster Communication and Social Media: Mixed-Method Systematic Review. </w:t>
      </w:r>
      <w:r w:rsidRPr="00DE57ED">
        <w:rPr>
          <w:rStyle w:val="Strong"/>
          <w:rFonts w:asciiTheme="minorHAnsi" w:hAnsiTheme="minorHAnsi" w:cstheme="minorHAnsi"/>
          <w:b w:val="0"/>
          <w:bCs/>
          <w:i/>
          <w:noProof/>
          <w:sz w:val="22"/>
          <w:szCs w:val="22"/>
        </w:rPr>
        <w:t>Health Communication</w:t>
      </w:r>
      <w:r w:rsidRPr="00DE57ED">
        <w:rPr>
          <w:rStyle w:val="Strong"/>
          <w:rFonts w:asciiTheme="minorHAnsi" w:hAnsiTheme="minorHAnsi" w:cstheme="minorHAnsi"/>
          <w:b w:val="0"/>
          <w:bCs/>
          <w:noProof/>
          <w:sz w:val="22"/>
          <w:szCs w:val="22"/>
        </w:rPr>
        <w:t>, 1-12. doi: 10.1080/10410236.2017.1351278</w:t>
      </w:r>
      <w:bookmarkEnd w:id="6"/>
    </w:p>
    <w:p w14:paraId="5FFEDDAB"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7" w:name="_ENREF_5"/>
      <w:r w:rsidRPr="00DE57ED">
        <w:rPr>
          <w:rStyle w:val="Strong"/>
          <w:rFonts w:asciiTheme="minorHAnsi" w:hAnsiTheme="minorHAnsi" w:cstheme="minorHAnsi"/>
          <w:b w:val="0"/>
          <w:bCs/>
          <w:noProof/>
          <w:sz w:val="22"/>
          <w:szCs w:val="22"/>
        </w:rPr>
        <w:t xml:space="preserve">Kasperson, R. E., &amp; Kasperson, J. X. (1996). The social amplification and attenuation of risk. </w:t>
      </w:r>
      <w:r w:rsidRPr="00DE57ED">
        <w:rPr>
          <w:rStyle w:val="Strong"/>
          <w:rFonts w:asciiTheme="minorHAnsi" w:hAnsiTheme="minorHAnsi" w:cstheme="minorHAnsi"/>
          <w:b w:val="0"/>
          <w:bCs/>
          <w:i/>
          <w:noProof/>
          <w:sz w:val="22"/>
          <w:szCs w:val="22"/>
        </w:rPr>
        <w:t>ANNALS of the American Academy of Political and Social Science, 545</w:t>
      </w:r>
      <w:r w:rsidRPr="00DE57ED">
        <w:rPr>
          <w:rStyle w:val="Strong"/>
          <w:rFonts w:asciiTheme="minorHAnsi" w:hAnsiTheme="minorHAnsi" w:cstheme="minorHAnsi"/>
          <w:b w:val="0"/>
          <w:bCs/>
          <w:noProof/>
          <w:sz w:val="22"/>
          <w:szCs w:val="22"/>
        </w:rPr>
        <w:t xml:space="preserve">, 95-105. </w:t>
      </w:r>
      <w:bookmarkEnd w:id="7"/>
    </w:p>
    <w:p w14:paraId="4F8AE08E" w14:textId="77777777" w:rsidR="00094FC1" w:rsidRDefault="00094FC1" w:rsidP="00094FC1">
      <w:pPr>
        <w:spacing w:line="276" w:lineRule="auto"/>
        <w:rPr>
          <w:rFonts w:asciiTheme="minorHAnsi" w:hAnsiTheme="minorHAnsi" w:cstheme="minorHAnsi"/>
          <w:i/>
          <w:sz w:val="22"/>
          <w:szCs w:val="22"/>
        </w:rPr>
      </w:pPr>
      <w:bookmarkStart w:id="8" w:name="_ENREF_6"/>
      <w:r w:rsidRPr="00DE57ED">
        <w:rPr>
          <w:rFonts w:asciiTheme="minorHAnsi" w:hAnsiTheme="minorHAnsi" w:cstheme="minorHAnsi"/>
          <w:sz w:val="22"/>
          <w:szCs w:val="22"/>
        </w:rPr>
        <w:t xml:space="preserve">Levy, D. (2018). </w:t>
      </w:r>
      <w:r w:rsidRPr="00DE57ED">
        <w:rPr>
          <w:rFonts w:asciiTheme="minorHAnsi" w:hAnsiTheme="minorHAnsi" w:cstheme="minorHAnsi"/>
          <w:i/>
          <w:sz w:val="22"/>
          <w:szCs w:val="22"/>
        </w:rPr>
        <w:t xml:space="preserve">The Communications Golden Hour: The Essential Guide to Public Information When Every </w:t>
      </w:r>
    </w:p>
    <w:p w14:paraId="1DD595F5" w14:textId="77777777" w:rsidR="00094FC1" w:rsidRPr="00094FC1" w:rsidRDefault="00094FC1" w:rsidP="00094FC1">
      <w:pPr>
        <w:spacing w:line="276" w:lineRule="auto"/>
        <w:ind w:firstLine="720"/>
        <w:rPr>
          <w:rStyle w:val="Strong"/>
          <w:rFonts w:asciiTheme="minorHAnsi" w:hAnsiTheme="minorHAnsi" w:cstheme="minorHAnsi"/>
          <w:b w:val="0"/>
          <w:sz w:val="22"/>
          <w:szCs w:val="22"/>
        </w:rPr>
      </w:pPr>
      <w:r w:rsidRPr="00DE57ED">
        <w:rPr>
          <w:rFonts w:asciiTheme="minorHAnsi" w:hAnsiTheme="minorHAnsi" w:cstheme="minorHAnsi"/>
          <w:i/>
          <w:sz w:val="22"/>
          <w:szCs w:val="22"/>
        </w:rPr>
        <w:t>Minute Counts</w:t>
      </w:r>
      <w:r w:rsidRPr="00DE57ED">
        <w:rPr>
          <w:rFonts w:asciiTheme="minorHAnsi" w:hAnsiTheme="minorHAnsi" w:cstheme="minorHAnsi"/>
          <w:sz w:val="22"/>
          <w:szCs w:val="22"/>
        </w:rPr>
        <w:t>. ISBN: 978-1-7320659-0-1</w:t>
      </w:r>
    </w:p>
    <w:p w14:paraId="25E6A0D6" w14:textId="77777777" w:rsidR="00A0558B" w:rsidRPr="00DE57ED" w:rsidRDefault="00A0558B" w:rsidP="00F144D7">
      <w:pPr>
        <w:ind w:left="720" w:hanging="720"/>
        <w:rPr>
          <w:rStyle w:val="Strong"/>
          <w:rFonts w:asciiTheme="minorHAnsi" w:hAnsiTheme="minorHAnsi" w:cstheme="minorHAnsi"/>
          <w:b w:val="0"/>
          <w:bCs/>
          <w:noProof/>
          <w:sz w:val="22"/>
          <w:szCs w:val="22"/>
        </w:rPr>
      </w:pPr>
      <w:r w:rsidRPr="00DE57ED">
        <w:rPr>
          <w:rStyle w:val="Strong"/>
          <w:rFonts w:asciiTheme="minorHAnsi" w:hAnsiTheme="minorHAnsi" w:cstheme="minorHAnsi"/>
          <w:b w:val="0"/>
          <w:bCs/>
          <w:noProof/>
          <w:sz w:val="22"/>
          <w:szCs w:val="22"/>
        </w:rPr>
        <w:t xml:space="preserve">Lowrey, W., Evans, W., Gower, K. K., Robinson, J. A., Ginter, P. M., McCormick, L. C., &amp; Abdolrasulnia, M. (2007). Effective media communication of disasters: pressing problems and recommendations. </w:t>
      </w:r>
      <w:r w:rsidRPr="00DE57ED">
        <w:rPr>
          <w:rStyle w:val="Strong"/>
          <w:rFonts w:asciiTheme="minorHAnsi" w:hAnsiTheme="minorHAnsi" w:cstheme="minorHAnsi"/>
          <w:b w:val="0"/>
          <w:bCs/>
          <w:i/>
          <w:noProof/>
          <w:sz w:val="22"/>
          <w:szCs w:val="22"/>
        </w:rPr>
        <w:t>BMC Public Health, 7</w:t>
      </w:r>
      <w:r w:rsidRPr="00DE57ED">
        <w:rPr>
          <w:rStyle w:val="Strong"/>
          <w:rFonts w:asciiTheme="minorHAnsi" w:hAnsiTheme="minorHAnsi" w:cstheme="minorHAnsi"/>
          <w:b w:val="0"/>
          <w:bCs/>
          <w:noProof/>
          <w:sz w:val="22"/>
          <w:szCs w:val="22"/>
        </w:rPr>
        <w:t>, 97. doi: 1471-2458-7-97</w:t>
      </w:r>
      <w:bookmarkEnd w:id="8"/>
    </w:p>
    <w:p w14:paraId="1BB4FA80"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9" w:name="_ENREF_8"/>
      <w:r w:rsidRPr="00DE57ED">
        <w:rPr>
          <w:rStyle w:val="Strong"/>
          <w:rFonts w:asciiTheme="minorHAnsi" w:hAnsiTheme="minorHAnsi" w:cstheme="minorHAnsi"/>
          <w:b w:val="0"/>
          <w:bCs/>
          <w:noProof/>
          <w:sz w:val="22"/>
          <w:szCs w:val="22"/>
        </w:rPr>
        <w:t xml:space="preserve">Luhmann, N. (2005). </w:t>
      </w:r>
      <w:r w:rsidRPr="00DE57ED">
        <w:rPr>
          <w:rStyle w:val="Strong"/>
          <w:rFonts w:asciiTheme="minorHAnsi" w:hAnsiTheme="minorHAnsi" w:cstheme="minorHAnsi"/>
          <w:b w:val="0"/>
          <w:bCs/>
          <w:i/>
          <w:noProof/>
          <w:sz w:val="22"/>
          <w:szCs w:val="22"/>
        </w:rPr>
        <w:t>Risk</w:t>
      </w:r>
      <w:r w:rsidR="00D76CFC" w:rsidRPr="00DE57ED">
        <w:rPr>
          <w:rStyle w:val="Strong"/>
          <w:rFonts w:asciiTheme="minorHAnsi" w:hAnsiTheme="minorHAnsi" w:cstheme="minorHAnsi"/>
          <w:b w:val="0"/>
          <w:bCs/>
          <w:i/>
          <w:noProof/>
          <w:sz w:val="22"/>
          <w:szCs w:val="22"/>
        </w:rPr>
        <w:t xml:space="preserve">: A </w:t>
      </w:r>
      <w:r w:rsidRPr="00DE57ED">
        <w:rPr>
          <w:rStyle w:val="Strong"/>
          <w:rFonts w:asciiTheme="minorHAnsi" w:hAnsiTheme="minorHAnsi" w:cstheme="minorHAnsi"/>
          <w:b w:val="0"/>
          <w:bCs/>
          <w:i/>
          <w:noProof/>
          <w:sz w:val="22"/>
          <w:szCs w:val="22"/>
        </w:rPr>
        <w:t>sociological theory</w:t>
      </w:r>
      <w:r w:rsidRPr="00DE57ED">
        <w:rPr>
          <w:rStyle w:val="Strong"/>
          <w:rFonts w:asciiTheme="minorHAnsi" w:hAnsiTheme="minorHAnsi" w:cstheme="minorHAnsi"/>
          <w:b w:val="0"/>
          <w:bCs/>
          <w:noProof/>
          <w:sz w:val="22"/>
          <w:szCs w:val="22"/>
        </w:rPr>
        <w:t xml:space="preserve"> (1st paperback edition. ed.). New Brunswick, N.J.: Aldine Transaction.</w:t>
      </w:r>
      <w:bookmarkEnd w:id="9"/>
    </w:p>
    <w:p w14:paraId="08FAC24A" w14:textId="77777777" w:rsidR="00094FC1" w:rsidRDefault="00094FC1" w:rsidP="00094FC1">
      <w:pPr>
        <w:spacing w:line="276" w:lineRule="auto"/>
        <w:rPr>
          <w:rFonts w:asciiTheme="minorHAnsi" w:hAnsiTheme="minorHAnsi" w:cstheme="minorHAnsi"/>
          <w:i/>
          <w:sz w:val="22"/>
          <w:szCs w:val="22"/>
        </w:rPr>
      </w:pPr>
      <w:bookmarkStart w:id="10" w:name="_ENREF_9"/>
      <w:r w:rsidRPr="00DE57ED">
        <w:rPr>
          <w:rFonts w:asciiTheme="minorHAnsi" w:hAnsiTheme="minorHAnsi" w:cstheme="minorHAnsi"/>
          <w:sz w:val="22"/>
          <w:szCs w:val="22"/>
        </w:rPr>
        <w:t xml:space="preserve">Lundgren, R.E. and, McMakin, A.H. (2018). </w:t>
      </w:r>
      <w:r w:rsidRPr="00DE57ED">
        <w:rPr>
          <w:rFonts w:asciiTheme="minorHAnsi" w:hAnsiTheme="minorHAnsi" w:cstheme="minorHAnsi"/>
          <w:i/>
          <w:sz w:val="22"/>
          <w:szCs w:val="22"/>
        </w:rPr>
        <w:t xml:space="preserve">Risk Communication: A Handbook for Communicating </w:t>
      </w:r>
    </w:p>
    <w:p w14:paraId="16FC56CB" w14:textId="77777777" w:rsidR="00094FC1" w:rsidRPr="00094FC1" w:rsidRDefault="00094FC1" w:rsidP="00094FC1">
      <w:pPr>
        <w:spacing w:line="276" w:lineRule="auto"/>
        <w:ind w:firstLine="720"/>
        <w:rPr>
          <w:rStyle w:val="Strong"/>
          <w:rFonts w:asciiTheme="minorHAnsi" w:hAnsiTheme="minorHAnsi" w:cstheme="minorHAnsi"/>
          <w:b w:val="0"/>
          <w:i/>
          <w:sz w:val="22"/>
          <w:szCs w:val="22"/>
        </w:rPr>
      </w:pPr>
      <w:r w:rsidRPr="00DE57ED">
        <w:rPr>
          <w:rFonts w:asciiTheme="minorHAnsi" w:hAnsiTheme="minorHAnsi" w:cstheme="minorHAnsi"/>
          <w:i/>
          <w:sz w:val="22"/>
          <w:szCs w:val="22"/>
        </w:rPr>
        <w:t xml:space="preserve">Environmental, Safety, and Health Risks. </w:t>
      </w:r>
    </w:p>
    <w:p w14:paraId="699A6F47" w14:textId="77777777" w:rsidR="00A0558B" w:rsidRPr="00DE57ED" w:rsidRDefault="00A0558B" w:rsidP="00F144D7">
      <w:pPr>
        <w:ind w:left="720" w:hanging="720"/>
        <w:rPr>
          <w:rStyle w:val="Strong"/>
          <w:rFonts w:asciiTheme="minorHAnsi" w:hAnsiTheme="minorHAnsi" w:cstheme="minorHAnsi"/>
          <w:b w:val="0"/>
          <w:bCs/>
          <w:noProof/>
          <w:sz w:val="22"/>
          <w:szCs w:val="22"/>
        </w:rPr>
      </w:pPr>
      <w:r w:rsidRPr="00DE57ED">
        <w:rPr>
          <w:rStyle w:val="Strong"/>
          <w:rFonts w:asciiTheme="minorHAnsi" w:hAnsiTheme="minorHAnsi" w:cstheme="minorHAnsi"/>
          <w:b w:val="0"/>
          <w:bCs/>
          <w:noProof/>
          <w:sz w:val="22"/>
          <w:szCs w:val="22"/>
        </w:rPr>
        <w:t xml:space="preserve">Miller, A. N., Sellnow, T., Neuberger, L., Todd, A., Freihaut, R., Noyes, J., . . . Gamhewage, G. (2017). A Systematic Review of Literature on Effectiveness of Training in Emergency Risk Communication. </w:t>
      </w:r>
      <w:r w:rsidRPr="00DE57ED">
        <w:rPr>
          <w:rStyle w:val="Strong"/>
          <w:rFonts w:asciiTheme="minorHAnsi" w:hAnsiTheme="minorHAnsi" w:cstheme="minorHAnsi"/>
          <w:b w:val="0"/>
          <w:bCs/>
          <w:i/>
          <w:noProof/>
          <w:sz w:val="22"/>
          <w:szCs w:val="22"/>
        </w:rPr>
        <w:t>Journal of health communication, 22</w:t>
      </w:r>
      <w:r w:rsidRPr="00DE57ED">
        <w:rPr>
          <w:rStyle w:val="Strong"/>
          <w:rFonts w:asciiTheme="minorHAnsi" w:hAnsiTheme="minorHAnsi" w:cstheme="minorHAnsi"/>
          <w:b w:val="0"/>
          <w:bCs/>
          <w:noProof/>
          <w:sz w:val="22"/>
          <w:szCs w:val="22"/>
        </w:rPr>
        <w:t>(7), 612-629. doi: 10.1080/10810730.2017.1338802</w:t>
      </w:r>
      <w:bookmarkEnd w:id="10"/>
    </w:p>
    <w:p w14:paraId="64ABE636" w14:textId="77777777" w:rsidR="00D80E40" w:rsidRPr="00D80E40" w:rsidRDefault="00D80E40" w:rsidP="00D80E40">
      <w:pPr>
        <w:spacing w:line="276" w:lineRule="auto"/>
        <w:rPr>
          <w:rStyle w:val="Strong"/>
          <w:rFonts w:asciiTheme="minorHAnsi" w:hAnsiTheme="minorHAnsi" w:cstheme="minorHAnsi"/>
          <w:b w:val="0"/>
          <w:sz w:val="22"/>
          <w:szCs w:val="22"/>
        </w:rPr>
      </w:pPr>
      <w:bookmarkStart w:id="11" w:name="_ENREF_10"/>
      <w:r w:rsidRPr="00DE57ED">
        <w:rPr>
          <w:rFonts w:asciiTheme="minorHAnsi" w:hAnsiTheme="minorHAnsi" w:cstheme="minorHAnsi"/>
          <w:sz w:val="22"/>
          <w:szCs w:val="22"/>
        </w:rPr>
        <w:t xml:space="preserve">Sellnow, T. L. and Seeger, M.W. (2013). </w:t>
      </w:r>
      <w:r w:rsidRPr="00DE57ED">
        <w:rPr>
          <w:rFonts w:asciiTheme="minorHAnsi" w:hAnsiTheme="minorHAnsi" w:cstheme="minorHAnsi"/>
          <w:i/>
          <w:sz w:val="22"/>
          <w:szCs w:val="22"/>
        </w:rPr>
        <w:t>Theorizing Crisis Communications</w:t>
      </w:r>
      <w:r w:rsidRPr="00DE57ED">
        <w:rPr>
          <w:rFonts w:asciiTheme="minorHAnsi" w:hAnsiTheme="minorHAnsi" w:cstheme="minorHAnsi"/>
          <w:sz w:val="22"/>
          <w:szCs w:val="22"/>
        </w:rPr>
        <w:t>. ISBN-13: 978-0470659304</w:t>
      </w:r>
    </w:p>
    <w:p w14:paraId="31AB8347" w14:textId="77777777" w:rsidR="00A0558B" w:rsidRPr="00DE57ED" w:rsidRDefault="00A0558B" w:rsidP="00F144D7">
      <w:pPr>
        <w:ind w:left="720" w:hanging="720"/>
        <w:rPr>
          <w:rStyle w:val="Strong"/>
          <w:rFonts w:asciiTheme="minorHAnsi" w:hAnsiTheme="minorHAnsi" w:cstheme="minorHAnsi"/>
          <w:b w:val="0"/>
          <w:bCs/>
          <w:noProof/>
          <w:sz w:val="22"/>
          <w:szCs w:val="22"/>
        </w:rPr>
      </w:pPr>
      <w:r w:rsidRPr="00DE57ED">
        <w:rPr>
          <w:rStyle w:val="Strong"/>
          <w:rFonts w:asciiTheme="minorHAnsi" w:hAnsiTheme="minorHAnsi" w:cstheme="minorHAnsi"/>
          <w:b w:val="0"/>
          <w:bCs/>
          <w:noProof/>
          <w:sz w:val="22"/>
          <w:szCs w:val="22"/>
        </w:rPr>
        <w:t xml:space="preserve">Seeger, M. W., Sellnow, T. L., &amp; Ulmer, R. L. (2008). </w:t>
      </w:r>
      <w:r w:rsidRPr="00DE57ED">
        <w:rPr>
          <w:rStyle w:val="Strong"/>
          <w:rFonts w:asciiTheme="minorHAnsi" w:hAnsiTheme="minorHAnsi" w:cstheme="minorHAnsi"/>
          <w:b w:val="0"/>
          <w:bCs/>
          <w:i/>
          <w:noProof/>
          <w:sz w:val="22"/>
          <w:szCs w:val="22"/>
        </w:rPr>
        <w:t>Crisis communication and the public health</w:t>
      </w:r>
      <w:r w:rsidRPr="00DE57ED">
        <w:rPr>
          <w:rStyle w:val="Strong"/>
          <w:rFonts w:asciiTheme="minorHAnsi" w:hAnsiTheme="minorHAnsi" w:cstheme="minorHAnsi"/>
          <w:b w:val="0"/>
          <w:bCs/>
          <w:noProof/>
          <w:sz w:val="22"/>
          <w:szCs w:val="22"/>
        </w:rPr>
        <w:t>. Cresskill, NJ: Hampton Press.</w:t>
      </w:r>
      <w:bookmarkEnd w:id="11"/>
    </w:p>
    <w:p w14:paraId="1BD81695"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12" w:name="_ENREF_11"/>
      <w:r w:rsidRPr="00DE57ED">
        <w:rPr>
          <w:rStyle w:val="Strong"/>
          <w:rFonts w:asciiTheme="minorHAnsi" w:hAnsiTheme="minorHAnsi" w:cstheme="minorHAnsi"/>
          <w:b w:val="0"/>
          <w:bCs/>
          <w:noProof/>
          <w:sz w:val="22"/>
          <w:szCs w:val="22"/>
        </w:rPr>
        <w:t xml:space="preserve">Sellnow, T. L., Sellnow, D. D., Lane, D. R., &amp; Littlefield, R. S. (2012). The value of instructional communication in crisis situations: restoring order to chaos. </w:t>
      </w:r>
      <w:r w:rsidRPr="00DE57ED">
        <w:rPr>
          <w:rStyle w:val="Strong"/>
          <w:rFonts w:asciiTheme="minorHAnsi" w:hAnsiTheme="minorHAnsi" w:cstheme="minorHAnsi"/>
          <w:b w:val="0"/>
          <w:bCs/>
          <w:i/>
          <w:noProof/>
          <w:sz w:val="22"/>
          <w:szCs w:val="22"/>
        </w:rPr>
        <w:t>Risk Analysis, 32</w:t>
      </w:r>
      <w:r w:rsidRPr="00DE57ED">
        <w:rPr>
          <w:rStyle w:val="Strong"/>
          <w:rFonts w:asciiTheme="minorHAnsi" w:hAnsiTheme="minorHAnsi" w:cstheme="minorHAnsi"/>
          <w:b w:val="0"/>
          <w:bCs/>
          <w:noProof/>
          <w:sz w:val="22"/>
          <w:szCs w:val="22"/>
        </w:rPr>
        <w:t>(4), 633-643. doi: 10.1111/j.1539-6924.2011.01634.x</w:t>
      </w:r>
      <w:bookmarkEnd w:id="12"/>
    </w:p>
    <w:p w14:paraId="4BE71929"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13" w:name="_ENREF_12"/>
      <w:r w:rsidRPr="00DE57ED">
        <w:rPr>
          <w:rStyle w:val="Strong"/>
          <w:rFonts w:asciiTheme="minorHAnsi" w:hAnsiTheme="minorHAnsi" w:cstheme="minorHAnsi"/>
          <w:b w:val="0"/>
          <w:bCs/>
          <w:noProof/>
          <w:sz w:val="22"/>
          <w:szCs w:val="22"/>
        </w:rPr>
        <w:t xml:space="preserve">Svendsen, E. R., Yamaguchi, I., Tsuda, T., Guimaraes, J. R., &amp; Tondel, M. (2016). Risk Communication Strategies: Lessons Learned from Previous Disasters with a Focus on the Fukushima Radiation Accident. </w:t>
      </w:r>
      <w:r w:rsidRPr="00DE57ED">
        <w:rPr>
          <w:rStyle w:val="Strong"/>
          <w:rFonts w:asciiTheme="minorHAnsi" w:hAnsiTheme="minorHAnsi" w:cstheme="minorHAnsi"/>
          <w:b w:val="0"/>
          <w:bCs/>
          <w:i/>
          <w:noProof/>
          <w:sz w:val="22"/>
          <w:szCs w:val="22"/>
        </w:rPr>
        <w:t>Current Environmental Health Reports, 3</w:t>
      </w:r>
      <w:r w:rsidRPr="00DE57ED">
        <w:rPr>
          <w:rStyle w:val="Strong"/>
          <w:rFonts w:asciiTheme="minorHAnsi" w:hAnsiTheme="minorHAnsi" w:cstheme="minorHAnsi"/>
          <w:b w:val="0"/>
          <w:bCs/>
          <w:noProof/>
          <w:sz w:val="22"/>
          <w:szCs w:val="22"/>
        </w:rPr>
        <w:t>(4), 348-359. doi: 10.1007/s40572-016-0111-2</w:t>
      </w:r>
      <w:bookmarkEnd w:id="13"/>
    </w:p>
    <w:p w14:paraId="7BBD1B39"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14" w:name="_ENREF_13"/>
      <w:r w:rsidRPr="00DE57ED">
        <w:rPr>
          <w:rStyle w:val="Strong"/>
          <w:rFonts w:asciiTheme="minorHAnsi" w:hAnsiTheme="minorHAnsi" w:cstheme="minorHAnsi"/>
          <w:b w:val="0"/>
          <w:bCs/>
          <w:noProof/>
          <w:sz w:val="22"/>
          <w:szCs w:val="22"/>
        </w:rPr>
        <w:t xml:space="preserve">Toppenberg-Pejcic, D., Noyes, J., Allen, T., Alexander, N., Vanderford, M., &amp; Gamhewage, G. (2018). Emergency Risk Communication: Lessons Learned from a Rapid Review of Recent Gray Literature on Ebola, Zika, and Yellow Fever. </w:t>
      </w:r>
      <w:r w:rsidRPr="00DE57ED">
        <w:rPr>
          <w:rStyle w:val="Strong"/>
          <w:rFonts w:asciiTheme="minorHAnsi" w:hAnsiTheme="minorHAnsi" w:cstheme="minorHAnsi"/>
          <w:b w:val="0"/>
          <w:bCs/>
          <w:i/>
          <w:noProof/>
          <w:sz w:val="22"/>
          <w:szCs w:val="22"/>
        </w:rPr>
        <w:t>Health Communication</w:t>
      </w:r>
      <w:r w:rsidRPr="00DE57ED">
        <w:rPr>
          <w:rStyle w:val="Strong"/>
          <w:rFonts w:asciiTheme="minorHAnsi" w:hAnsiTheme="minorHAnsi" w:cstheme="minorHAnsi"/>
          <w:b w:val="0"/>
          <w:bCs/>
          <w:noProof/>
          <w:sz w:val="22"/>
          <w:szCs w:val="22"/>
        </w:rPr>
        <w:t>, 1-19. doi: 10.1080/10410236.2017.1405488</w:t>
      </w:r>
      <w:bookmarkEnd w:id="14"/>
    </w:p>
    <w:p w14:paraId="20CA580A" w14:textId="77777777" w:rsidR="00A0558B" w:rsidRPr="00DE57ED" w:rsidRDefault="00A0558B" w:rsidP="00F144D7">
      <w:pPr>
        <w:ind w:left="720" w:hanging="720"/>
        <w:rPr>
          <w:rStyle w:val="Strong"/>
          <w:rFonts w:asciiTheme="minorHAnsi" w:hAnsiTheme="minorHAnsi" w:cstheme="minorHAnsi"/>
          <w:b w:val="0"/>
          <w:bCs/>
          <w:noProof/>
          <w:sz w:val="22"/>
          <w:szCs w:val="22"/>
        </w:rPr>
      </w:pPr>
      <w:bookmarkStart w:id="15" w:name="_ENREF_14"/>
      <w:r w:rsidRPr="00DE57ED">
        <w:rPr>
          <w:rStyle w:val="Strong"/>
          <w:rFonts w:asciiTheme="minorHAnsi" w:hAnsiTheme="minorHAnsi" w:cstheme="minorHAnsi"/>
          <w:b w:val="0"/>
          <w:bCs/>
          <w:noProof/>
          <w:sz w:val="22"/>
          <w:szCs w:val="22"/>
        </w:rPr>
        <w:t xml:space="preserve">Veil, S., Reynolds, B., Sellnow, T. L., &amp; Seeger, M. W. (2008). CERC as a theoretical framework for research and practice. </w:t>
      </w:r>
      <w:r w:rsidRPr="00DE57ED">
        <w:rPr>
          <w:rStyle w:val="Strong"/>
          <w:rFonts w:asciiTheme="minorHAnsi" w:hAnsiTheme="minorHAnsi" w:cstheme="minorHAnsi"/>
          <w:b w:val="0"/>
          <w:bCs/>
          <w:i/>
          <w:noProof/>
          <w:sz w:val="22"/>
          <w:szCs w:val="22"/>
        </w:rPr>
        <w:t>Health Promotion Practice, 9</w:t>
      </w:r>
      <w:r w:rsidRPr="00DE57ED">
        <w:rPr>
          <w:rStyle w:val="Strong"/>
          <w:rFonts w:asciiTheme="minorHAnsi" w:hAnsiTheme="minorHAnsi" w:cstheme="minorHAnsi"/>
          <w:b w:val="0"/>
          <w:bCs/>
          <w:noProof/>
          <w:sz w:val="22"/>
          <w:szCs w:val="22"/>
        </w:rPr>
        <w:t>(4 Suppl), 26S-34S. doi: 10.1177/1524839908322113</w:t>
      </w:r>
      <w:bookmarkEnd w:id="15"/>
    </w:p>
    <w:bookmarkEnd w:id="3"/>
    <w:p w14:paraId="0DA034B4" w14:textId="77777777" w:rsidR="00A013D5" w:rsidRPr="00DE57ED" w:rsidRDefault="00A013D5" w:rsidP="00A0558B">
      <w:pPr>
        <w:ind w:left="720" w:hanging="720"/>
        <w:rPr>
          <w:rFonts w:asciiTheme="minorHAnsi" w:hAnsiTheme="minorHAnsi" w:cstheme="minorHAnsi"/>
          <w:bCs/>
          <w:noProof/>
          <w:sz w:val="22"/>
          <w:szCs w:val="22"/>
        </w:rPr>
      </w:pPr>
    </w:p>
    <w:p w14:paraId="5612924A" w14:textId="77777777" w:rsidR="005F4066" w:rsidRPr="00D80E40" w:rsidRDefault="005F4066" w:rsidP="00D80E40">
      <w:pPr>
        <w:rPr>
          <w:rFonts w:asciiTheme="minorHAnsi" w:hAnsiTheme="minorHAnsi" w:cstheme="minorHAnsi"/>
          <w:color w:val="000000"/>
          <w:sz w:val="22"/>
          <w:szCs w:val="22"/>
        </w:rPr>
      </w:pPr>
      <w:r w:rsidRPr="00DE57ED">
        <w:rPr>
          <w:rFonts w:asciiTheme="minorHAnsi" w:hAnsiTheme="minorHAnsi" w:cstheme="minorHAnsi"/>
          <w:color w:val="000000"/>
          <w:sz w:val="22"/>
          <w:szCs w:val="22"/>
        </w:rPr>
        <w:t>[Portions of this syllabus were adapted from “Health Communications Syllabus” Northwest Center for Public Health Practice]</w:t>
      </w:r>
    </w:p>
    <w:sectPr w:rsidR="005F4066" w:rsidRPr="00D80E40" w:rsidSect="00F144D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64DC" w14:textId="77777777" w:rsidR="004858AB" w:rsidRDefault="004858AB">
      <w:r>
        <w:separator/>
      </w:r>
    </w:p>
  </w:endnote>
  <w:endnote w:type="continuationSeparator" w:id="0">
    <w:p w14:paraId="78D77750" w14:textId="77777777" w:rsidR="004858AB" w:rsidRDefault="0048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Segoe UI"/>
    <w:panose1 w:val="00000000000000000000"/>
    <w:charset w:val="00"/>
    <w:family w:val="auto"/>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altName w:val="﷽﷽﷽﷽﷽﷽﷽﷽Āঠ"/>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6AB" w14:textId="77777777" w:rsidR="005B6493" w:rsidRDefault="00A0558B"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3532A" w14:textId="77777777" w:rsidR="005B6493" w:rsidRDefault="004858AB" w:rsidP="00ED7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C205" w14:textId="77777777" w:rsidR="005B6493" w:rsidRDefault="00A0558B"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94166E" w14:textId="77777777" w:rsidR="005B6493" w:rsidRDefault="004858AB" w:rsidP="00ED7C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06DC" w14:textId="77777777" w:rsidR="005B6493" w:rsidRDefault="00A0558B">
    <w:pPr>
      <w:pStyle w:val="Footer"/>
      <w:jc w:val="right"/>
    </w:pPr>
    <w:r>
      <w:fldChar w:fldCharType="begin"/>
    </w:r>
    <w:r>
      <w:instrText xml:space="preserve"> PAGE   \* MERGEFORMAT </w:instrText>
    </w:r>
    <w:r>
      <w:fldChar w:fldCharType="separate"/>
    </w:r>
    <w:r>
      <w:rPr>
        <w:noProof/>
      </w:rPr>
      <w:t>1</w:t>
    </w:r>
    <w:r>
      <w:fldChar w:fldCharType="end"/>
    </w:r>
  </w:p>
  <w:p w14:paraId="4021D9C6" w14:textId="77777777" w:rsidR="005B6493" w:rsidRDefault="0048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0517" w14:textId="77777777" w:rsidR="004858AB" w:rsidRDefault="004858AB">
      <w:r>
        <w:separator/>
      </w:r>
    </w:p>
  </w:footnote>
  <w:footnote w:type="continuationSeparator" w:id="0">
    <w:p w14:paraId="2B423E66" w14:textId="77777777" w:rsidR="004858AB" w:rsidRDefault="0048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DFB" w14:textId="77777777" w:rsidR="005B6493" w:rsidRPr="00326A6D" w:rsidRDefault="00A0558B" w:rsidP="00B15E3F">
    <w:pPr>
      <w:pStyle w:val="Header"/>
      <w:tabs>
        <w:tab w:val="clear" w:pos="4320"/>
        <w:tab w:val="center" w:pos="4950"/>
      </w:tabs>
      <w:jc w:val="center"/>
      <w:rPr>
        <w:rFonts w:ascii="Times New Roman" w:hAnsi="Times New Roman"/>
      </w:rPr>
    </w:pPr>
    <w:r>
      <w:tab/>
    </w:r>
    <w:r w:rsidRPr="00326A6D">
      <w:rPr>
        <w:rFonts w:ascii="Times New Roman" w:hAnsi="Times New Roman"/>
      </w:rPr>
      <w:tab/>
    </w:r>
    <w:r w:rsidRPr="00326A6D">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1BD" w14:textId="77777777" w:rsidR="005B6493" w:rsidRDefault="00A0558B" w:rsidP="00611C6D">
    <w:pPr>
      <w:pStyle w:val="Header"/>
      <w:tabs>
        <w:tab w:val="clear" w:pos="4320"/>
        <w:tab w:val="center" w:pos="4950"/>
      </w:tabs>
      <w:jc w:val="center"/>
    </w:pPr>
    <w:r>
      <w:tab/>
    </w:r>
    <w:r>
      <w:tab/>
    </w:r>
  </w:p>
  <w:p w14:paraId="58EC7588" w14:textId="77777777" w:rsidR="005B6493" w:rsidRDefault="00A0558B" w:rsidP="00952E74">
    <w:pPr>
      <w:pStyle w:val="Header"/>
      <w:tabs>
        <w:tab w:val="clear" w:pos="4320"/>
        <w:tab w:val="clear" w:pos="8640"/>
        <w:tab w:val="left" w:pos="6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C8"/>
    <w:multiLevelType w:val="hybridMultilevel"/>
    <w:tmpl w:val="5A8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606"/>
    <w:multiLevelType w:val="hybridMultilevel"/>
    <w:tmpl w:val="3ECC63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C168A"/>
    <w:multiLevelType w:val="hybridMultilevel"/>
    <w:tmpl w:val="D68A1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2397"/>
    <w:multiLevelType w:val="multilevel"/>
    <w:tmpl w:val="056C55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60FE7"/>
    <w:multiLevelType w:val="multilevel"/>
    <w:tmpl w:val="AC1EA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D4A711D"/>
    <w:multiLevelType w:val="multilevel"/>
    <w:tmpl w:val="8AA454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DF770A2"/>
    <w:multiLevelType w:val="hybridMultilevel"/>
    <w:tmpl w:val="AB5A2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D4B5D"/>
    <w:multiLevelType w:val="hybridMultilevel"/>
    <w:tmpl w:val="F77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D10F3"/>
    <w:multiLevelType w:val="multilevel"/>
    <w:tmpl w:val="DC067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0B40D1C"/>
    <w:multiLevelType w:val="hybridMultilevel"/>
    <w:tmpl w:val="8C0644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16B6E08"/>
    <w:multiLevelType w:val="multilevel"/>
    <w:tmpl w:val="D25828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22258C6"/>
    <w:multiLevelType w:val="hybridMultilevel"/>
    <w:tmpl w:val="71C614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E3C3F"/>
    <w:multiLevelType w:val="multilevel"/>
    <w:tmpl w:val="F2347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4F945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4F0AF2"/>
    <w:multiLevelType w:val="multilevel"/>
    <w:tmpl w:val="487E7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28F02B5"/>
    <w:multiLevelType w:val="hybridMultilevel"/>
    <w:tmpl w:val="FC062E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740BE9"/>
    <w:multiLevelType w:val="hybridMultilevel"/>
    <w:tmpl w:val="77B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D7130"/>
    <w:multiLevelType w:val="hybridMultilevel"/>
    <w:tmpl w:val="44EA2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E57"/>
    <w:multiLevelType w:val="multilevel"/>
    <w:tmpl w:val="09289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8C40912"/>
    <w:multiLevelType w:val="hybridMultilevel"/>
    <w:tmpl w:val="527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139E5"/>
    <w:multiLevelType w:val="hybridMultilevel"/>
    <w:tmpl w:val="6BF40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E384B"/>
    <w:multiLevelType w:val="hybridMultilevel"/>
    <w:tmpl w:val="C5A28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84013"/>
    <w:multiLevelType w:val="multilevel"/>
    <w:tmpl w:val="7E38C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0CE3152"/>
    <w:multiLevelType w:val="hybridMultilevel"/>
    <w:tmpl w:val="94A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148D0"/>
    <w:multiLevelType w:val="multilevel"/>
    <w:tmpl w:val="2F3C8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5887A31"/>
    <w:multiLevelType w:val="hybridMultilevel"/>
    <w:tmpl w:val="D40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C3E14"/>
    <w:multiLevelType w:val="hybridMultilevel"/>
    <w:tmpl w:val="A1F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35B91"/>
    <w:multiLevelType w:val="multilevel"/>
    <w:tmpl w:val="2326B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7BD359A"/>
    <w:multiLevelType w:val="hybridMultilevel"/>
    <w:tmpl w:val="2F5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74752"/>
    <w:multiLevelType w:val="multilevel"/>
    <w:tmpl w:val="C5701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CE87146"/>
    <w:multiLevelType w:val="hybridMultilevel"/>
    <w:tmpl w:val="77C2AE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2546A16"/>
    <w:multiLevelType w:val="multilevel"/>
    <w:tmpl w:val="41ACD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2AA6B60"/>
    <w:multiLevelType w:val="multilevel"/>
    <w:tmpl w:val="2E560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5720E50"/>
    <w:multiLevelType w:val="hybridMultilevel"/>
    <w:tmpl w:val="722A1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D1314"/>
    <w:multiLevelType w:val="multilevel"/>
    <w:tmpl w:val="29F40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7100CF8"/>
    <w:multiLevelType w:val="multilevel"/>
    <w:tmpl w:val="5D504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85007A3"/>
    <w:multiLevelType w:val="multilevel"/>
    <w:tmpl w:val="7E38C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BE27B32"/>
    <w:multiLevelType w:val="hybridMultilevel"/>
    <w:tmpl w:val="DB3E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519D2"/>
    <w:multiLevelType w:val="hybridMultilevel"/>
    <w:tmpl w:val="9F3E8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B66CE"/>
    <w:multiLevelType w:val="hybridMultilevel"/>
    <w:tmpl w:val="760C1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36E87"/>
    <w:multiLevelType w:val="hybridMultilevel"/>
    <w:tmpl w:val="17268C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FD7806"/>
    <w:multiLevelType w:val="hybridMultilevel"/>
    <w:tmpl w:val="8A961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05198"/>
    <w:multiLevelType w:val="multilevel"/>
    <w:tmpl w:val="D890A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21"/>
  </w:num>
  <w:num w:numId="3">
    <w:abstractNumId w:val="45"/>
  </w:num>
  <w:num w:numId="4">
    <w:abstractNumId w:val="5"/>
  </w:num>
  <w:num w:numId="5">
    <w:abstractNumId w:val="0"/>
  </w:num>
  <w:num w:numId="6">
    <w:abstractNumId w:val="38"/>
    <w:lvlOverride w:ilvl="0">
      <w:lvl w:ilvl="0">
        <w:numFmt w:val="upperLetter"/>
        <w:lvlText w:val="%1."/>
        <w:lvlJc w:val="left"/>
        <w:rPr>
          <w:rFonts w:cs="Times New Roman"/>
        </w:rPr>
      </w:lvl>
    </w:lvlOverride>
  </w:num>
  <w:num w:numId="7">
    <w:abstractNumId w:val="6"/>
    <w:lvlOverride w:ilvl="0">
      <w:lvl w:ilvl="0">
        <w:numFmt w:val="upperLetter"/>
        <w:lvlText w:val="%1."/>
        <w:lvlJc w:val="left"/>
        <w:rPr>
          <w:rFonts w:cs="Times New Roman"/>
        </w:rPr>
      </w:lvl>
    </w:lvlOverride>
  </w:num>
  <w:num w:numId="8">
    <w:abstractNumId w:val="17"/>
    <w:lvlOverride w:ilvl="0">
      <w:lvl w:ilvl="0">
        <w:numFmt w:val="upperLetter"/>
        <w:lvlText w:val="%1."/>
        <w:lvlJc w:val="left"/>
        <w:rPr>
          <w:rFonts w:cs="Times New Roman"/>
        </w:rPr>
      </w:lvl>
    </w:lvlOverride>
  </w:num>
  <w:num w:numId="9">
    <w:abstractNumId w:val="36"/>
    <w:lvlOverride w:ilvl="0">
      <w:lvl w:ilvl="0">
        <w:numFmt w:val="upperLetter"/>
        <w:lvlText w:val="%1."/>
        <w:lvlJc w:val="left"/>
        <w:rPr>
          <w:rFonts w:cs="Times New Roman"/>
        </w:rPr>
      </w:lvl>
    </w:lvlOverride>
  </w:num>
  <w:num w:numId="10">
    <w:abstractNumId w:val="22"/>
    <w:lvlOverride w:ilvl="0">
      <w:lvl w:ilvl="0">
        <w:numFmt w:val="upperLetter"/>
        <w:lvlText w:val="%1."/>
        <w:lvlJc w:val="left"/>
        <w:rPr>
          <w:rFonts w:cs="Times New Roman"/>
        </w:rPr>
      </w:lvl>
    </w:lvlOverride>
  </w:num>
  <w:num w:numId="11">
    <w:abstractNumId w:val="4"/>
    <w:lvlOverride w:ilvl="0">
      <w:lvl w:ilvl="0">
        <w:numFmt w:val="upperLetter"/>
        <w:lvlText w:val="%1."/>
        <w:lvlJc w:val="left"/>
        <w:rPr>
          <w:rFonts w:cs="Times New Roman"/>
        </w:rPr>
      </w:lvl>
    </w:lvlOverride>
  </w:num>
  <w:num w:numId="12">
    <w:abstractNumId w:val="33"/>
    <w:lvlOverride w:ilvl="0">
      <w:lvl w:ilvl="0">
        <w:numFmt w:val="upperLetter"/>
        <w:lvlText w:val="%1."/>
        <w:lvlJc w:val="left"/>
        <w:rPr>
          <w:rFonts w:cs="Times New Roman"/>
        </w:rPr>
      </w:lvl>
    </w:lvlOverride>
  </w:num>
  <w:num w:numId="13">
    <w:abstractNumId w:val="10"/>
    <w:lvlOverride w:ilvl="0">
      <w:lvl w:ilvl="0">
        <w:numFmt w:val="upperLetter"/>
        <w:lvlText w:val="%1."/>
        <w:lvlJc w:val="left"/>
        <w:rPr>
          <w:rFonts w:cs="Times New Roman"/>
        </w:rPr>
      </w:lvl>
    </w:lvlOverride>
  </w:num>
  <w:num w:numId="14">
    <w:abstractNumId w:val="35"/>
    <w:lvlOverride w:ilvl="0">
      <w:lvl w:ilvl="0">
        <w:numFmt w:val="upperLetter"/>
        <w:lvlText w:val="%1."/>
        <w:lvlJc w:val="left"/>
        <w:rPr>
          <w:rFonts w:cs="Times New Roman"/>
        </w:rPr>
      </w:lvl>
    </w:lvlOverride>
  </w:num>
  <w:num w:numId="15">
    <w:abstractNumId w:val="47"/>
    <w:lvlOverride w:ilvl="0">
      <w:lvl w:ilvl="0">
        <w:numFmt w:val="upperLetter"/>
        <w:lvlText w:val="%1."/>
        <w:lvlJc w:val="left"/>
        <w:rPr>
          <w:rFonts w:cs="Times New Roman"/>
        </w:rPr>
      </w:lvl>
    </w:lvlOverride>
  </w:num>
  <w:num w:numId="16">
    <w:abstractNumId w:val="39"/>
    <w:lvlOverride w:ilvl="0">
      <w:lvl w:ilvl="0">
        <w:numFmt w:val="upperLetter"/>
        <w:lvlText w:val="%1."/>
        <w:lvlJc w:val="left"/>
        <w:rPr>
          <w:rFonts w:cs="Times New Roman"/>
        </w:rPr>
      </w:lvl>
    </w:lvlOverride>
  </w:num>
  <w:num w:numId="17">
    <w:abstractNumId w:val="7"/>
    <w:lvlOverride w:ilvl="0">
      <w:lvl w:ilvl="0">
        <w:numFmt w:val="upperLetter"/>
        <w:lvlText w:val="%1."/>
        <w:lvlJc w:val="left"/>
        <w:rPr>
          <w:rFonts w:cs="Times New Roman"/>
        </w:rPr>
      </w:lvl>
    </w:lvlOverride>
  </w:num>
  <w:num w:numId="18">
    <w:abstractNumId w:val="12"/>
    <w:lvlOverride w:ilvl="0">
      <w:lvl w:ilvl="0">
        <w:numFmt w:val="upperLetter"/>
        <w:lvlText w:val="%1."/>
        <w:lvlJc w:val="left"/>
        <w:rPr>
          <w:rFonts w:cs="Times New Roman"/>
        </w:rPr>
      </w:lvl>
    </w:lvlOverride>
  </w:num>
  <w:num w:numId="19">
    <w:abstractNumId w:val="28"/>
    <w:lvlOverride w:ilvl="0">
      <w:lvl w:ilvl="0">
        <w:numFmt w:val="upperLetter"/>
        <w:lvlText w:val="%1."/>
        <w:lvlJc w:val="left"/>
        <w:rPr>
          <w:rFonts w:cs="Times New Roman"/>
        </w:rPr>
      </w:lvl>
    </w:lvlOverride>
  </w:num>
  <w:num w:numId="20">
    <w:abstractNumId w:val="31"/>
    <w:lvlOverride w:ilvl="0">
      <w:lvl w:ilvl="0">
        <w:numFmt w:val="upperLetter"/>
        <w:lvlText w:val="%1."/>
        <w:lvlJc w:val="left"/>
        <w:rPr>
          <w:rFonts w:cs="Times New Roman"/>
        </w:rPr>
      </w:lvl>
    </w:lvlOverride>
  </w:num>
  <w:num w:numId="21">
    <w:abstractNumId w:val="34"/>
  </w:num>
  <w:num w:numId="22">
    <w:abstractNumId w:val="16"/>
  </w:num>
  <w:num w:numId="23">
    <w:abstractNumId w:val="13"/>
  </w:num>
  <w:num w:numId="24">
    <w:abstractNumId w:val="19"/>
  </w:num>
  <w:num w:numId="25">
    <w:abstractNumId w:val="30"/>
  </w:num>
  <w:num w:numId="26">
    <w:abstractNumId w:val="11"/>
  </w:num>
  <w:num w:numId="27">
    <w:abstractNumId w:val="18"/>
  </w:num>
  <w:num w:numId="28">
    <w:abstractNumId w:val="26"/>
  </w:num>
  <w:num w:numId="29">
    <w:abstractNumId w:val="40"/>
  </w:num>
  <w:num w:numId="30">
    <w:abstractNumId w:val="27"/>
  </w:num>
  <w:num w:numId="31">
    <w:abstractNumId w:val="44"/>
  </w:num>
  <w:num w:numId="32">
    <w:abstractNumId w:val="29"/>
  </w:num>
  <w:num w:numId="33">
    <w:abstractNumId w:val="9"/>
  </w:num>
  <w:num w:numId="34">
    <w:abstractNumId w:val="2"/>
  </w:num>
  <w:num w:numId="35">
    <w:abstractNumId w:val="37"/>
  </w:num>
  <w:num w:numId="36">
    <w:abstractNumId w:val="3"/>
  </w:num>
  <w:num w:numId="37">
    <w:abstractNumId w:val="25"/>
  </w:num>
  <w:num w:numId="38">
    <w:abstractNumId w:val="43"/>
  </w:num>
  <w:num w:numId="39">
    <w:abstractNumId w:val="42"/>
  </w:num>
  <w:num w:numId="40">
    <w:abstractNumId w:val="32"/>
  </w:num>
  <w:num w:numId="41">
    <w:abstractNumId w:val="20"/>
  </w:num>
  <w:num w:numId="42">
    <w:abstractNumId w:val="41"/>
  </w:num>
  <w:num w:numId="43">
    <w:abstractNumId w:val="46"/>
  </w:num>
  <w:num w:numId="44">
    <w:abstractNumId w:val="8"/>
  </w:num>
  <w:num w:numId="45">
    <w:abstractNumId w:val="24"/>
  </w:num>
  <w:num w:numId="46">
    <w:abstractNumId w:val="23"/>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A0558B"/>
    <w:rsid w:val="000021B7"/>
    <w:rsid w:val="00013819"/>
    <w:rsid w:val="00094FC1"/>
    <w:rsid w:val="003174D8"/>
    <w:rsid w:val="004229ED"/>
    <w:rsid w:val="004858AB"/>
    <w:rsid w:val="005F4066"/>
    <w:rsid w:val="0074173A"/>
    <w:rsid w:val="009F095B"/>
    <w:rsid w:val="00A013D5"/>
    <w:rsid w:val="00A0558B"/>
    <w:rsid w:val="00C8764B"/>
    <w:rsid w:val="00D76CFC"/>
    <w:rsid w:val="00D80E40"/>
    <w:rsid w:val="00DE57ED"/>
    <w:rsid w:val="00E2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17F0"/>
  <w15:chartTrackingRefBased/>
  <w15:docId w15:val="{167714DC-D72B-44E3-8A99-B599EBD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8B"/>
    <w:pPr>
      <w:spacing w:after="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A0558B"/>
    <w:pPr>
      <w:keepNext/>
      <w:keepLines/>
      <w:spacing w:before="480"/>
      <w:outlineLvl w:val="0"/>
    </w:pPr>
    <w:rPr>
      <w:rFonts w:ascii="Calibri" w:eastAsia="MS Gothic" w:hAnsi="Calibri"/>
      <w:b/>
      <w:bCs/>
      <w:color w:val="345A8A"/>
      <w:sz w:val="32"/>
      <w:szCs w:val="32"/>
      <w:lang w:eastAsia="en-US"/>
    </w:rPr>
  </w:style>
  <w:style w:type="paragraph" w:styleId="Heading2">
    <w:name w:val="heading 2"/>
    <w:basedOn w:val="Normal"/>
    <w:next w:val="Normal"/>
    <w:link w:val="Heading2Char"/>
    <w:uiPriority w:val="9"/>
    <w:unhideWhenUsed/>
    <w:qFormat/>
    <w:rsid w:val="00A0558B"/>
    <w:pPr>
      <w:keepNext/>
      <w:keepLines/>
      <w:spacing w:before="200"/>
      <w:outlineLvl w:val="1"/>
    </w:pPr>
    <w:rPr>
      <w:rFonts w:ascii="Calibri" w:eastAsia="MS Gothic" w:hAnsi="Calibri"/>
      <w:b/>
      <w:bCs/>
      <w:color w:val="4F81BD"/>
      <w:sz w:val="26"/>
      <w:szCs w:val="26"/>
      <w:lang w:eastAsia="en-US"/>
    </w:rPr>
  </w:style>
  <w:style w:type="paragraph" w:styleId="Heading3">
    <w:name w:val="heading 3"/>
    <w:basedOn w:val="Normal"/>
    <w:next w:val="Normal"/>
    <w:link w:val="Heading3Char"/>
    <w:uiPriority w:val="9"/>
    <w:semiHidden/>
    <w:unhideWhenUsed/>
    <w:qFormat/>
    <w:rsid w:val="00A055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558B"/>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A0558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558B"/>
    <w:rPr>
      <w:rFonts w:ascii="Calibri" w:eastAsia="MS Gothic" w:hAnsi="Calibri" w:cs="Times New Roman"/>
      <w:b/>
      <w:bCs/>
      <w:color w:val="345A8A"/>
      <w:sz w:val="32"/>
      <w:szCs w:val="32"/>
    </w:rPr>
  </w:style>
  <w:style w:type="character" w:customStyle="1" w:styleId="Heading2Char">
    <w:name w:val="Heading 2 Char"/>
    <w:link w:val="Heading2"/>
    <w:uiPriority w:val="9"/>
    <w:rsid w:val="00A0558B"/>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semiHidden/>
    <w:rsid w:val="00A0558B"/>
    <w:rPr>
      <w:rFonts w:asciiTheme="majorHAnsi" w:eastAsiaTheme="majorEastAsia" w:hAnsiTheme="majorHAnsi" w:cstheme="majorBidi"/>
      <w:color w:val="1F3763" w:themeColor="accent1" w:themeShade="7F"/>
      <w:sz w:val="24"/>
      <w:szCs w:val="24"/>
      <w:lang w:eastAsia="ja-JP"/>
    </w:rPr>
  </w:style>
  <w:style w:type="character" w:customStyle="1" w:styleId="Heading4Char">
    <w:name w:val="Heading 4 Char"/>
    <w:link w:val="Heading4"/>
    <w:uiPriority w:val="9"/>
    <w:rsid w:val="00A0558B"/>
    <w:rPr>
      <w:rFonts w:ascii="Calibri" w:eastAsia="MS Mincho" w:hAnsi="Calibri" w:cs="Times New Roman"/>
      <w:b/>
      <w:bCs/>
      <w:sz w:val="28"/>
      <w:szCs w:val="28"/>
      <w:lang w:eastAsia="ja-JP"/>
    </w:rPr>
  </w:style>
  <w:style w:type="character" w:customStyle="1" w:styleId="Heading6Char">
    <w:name w:val="Heading 6 Char"/>
    <w:link w:val="Heading6"/>
    <w:uiPriority w:val="9"/>
    <w:rsid w:val="00A0558B"/>
    <w:rPr>
      <w:rFonts w:ascii="Calibri" w:eastAsia="MS Mincho" w:hAnsi="Calibri" w:cs="Times New Roman"/>
      <w:b/>
      <w:bCs/>
      <w:lang w:eastAsia="ja-JP"/>
    </w:rPr>
  </w:style>
  <w:style w:type="paragraph" w:styleId="Header">
    <w:name w:val="header"/>
    <w:basedOn w:val="Normal"/>
    <w:link w:val="HeaderChar"/>
    <w:uiPriority w:val="99"/>
    <w:unhideWhenUsed/>
    <w:rsid w:val="00A0558B"/>
    <w:pPr>
      <w:tabs>
        <w:tab w:val="center" w:pos="4320"/>
        <w:tab w:val="right" w:pos="8640"/>
      </w:tabs>
    </w:pPr>
    <w:rPr>
      <w:sz w:val="20"/>
      <w:szCs w:val="20"/>
      <w:lang w:eastAsia="en-US"/>
    </w:rPr>
  </w:style>
  <w:style w:type="character" w:customStyle="1" w:styleId="HeaderChar">
    <w:name w:val="Header Char"/>
    <w:link w:val="Header"/>
    <w:uiPriority w:val="99"/>
    <w:rsid w:val="00A0558B"/>
    <w:rPr>
      <w:rFonts w:ascii="Cambria" w:eastAsia="MS Mincho" w:hAnsi="Cambria" w:cs="Times New Roman"/>
      <w:sz w:val="20"/>
      <w:szCs w:val="20"/>
    </w:rPr>
  </w:style>
  <w:style w:type="paragraph" w:styleId="Footer">
    <w:name w:val="footer"/>
    <w:basedOn w:val="Normal"/>
    <w:link w:val="FooterChar"/>
    <w:uiPriority w:val="99"/>
    <w:unhideWhenUsed/>
    <w:rsid w:val="00A0558B"/>
    <w:pPr>
      <w:tabs>
        <w:tab w:val="center" w:pos="4320"/>
        <w:tab w:val="right" w:pos="8640"/>
      </w:tabs>
    </w:pPr>
    <w:rPr>
      <w:sz w:val="20"/>
      <w:szCs w:val="20"/>
      <w:lang w:eastAsia="en-US"/>
    </w:rPr>
  </w:style>
  <w:style w:type="character" w:customStyle="1" w:styleId="FooterChar">
    <w:name w:val="Footer Char"/>
    <w:link w:val="Footer"/>
    <w:uiPriority w:val="99"/>
    <w:rsid w:val="00A0558B"/>
    <w:rPr>
      <w:rFonts w:ascii="Cambria" w:eastAsia="MS Mincho" w:hAnsi="Cambria" w:cs="Times New Roman"/>
      <w:sz w:val="20"/>
      <w:szCs w:val="20"/>
    </w:rPr>
  </w:style>
  <w:style w:type="paragraph" w:styleId="ListParagraph">
    <w:name w:val="List Paragraph"/>
    <w:basedOn w:val="Normal"/>
    <w:uiPriority w:val="99"/>
    <w:qFormat/>
    <w:rsid w:val="00A0558B"/>
    <w:pPr>
      <w:ind w:left="720"/>
      <w:contextualSpacing/>
    </w:pPr>
  </w:style>
  <w:style w:type="paragraph" w:customStyle="1" w:styleId="Default">
    <w:name w:val="Default"/>
    <w:rsid w:val="00A0558B"/>
    <w:pPr>
      <w:widowControl w:val="0"/>
      <w:autoSpaceDE w:val="0"/>
      <w:autoSpaceDN w:val="0"/>
      <w:adjustRightInd w:val="0"/>
      <w:spacing w:after="0" w:line="240" w:lineRule="auto"/>
    </w:pPr>
    <w:rPr>
      <w:rFonts w:ascii="Gill Sans" w:eastAsia="MS Mincho" w:hAnsi="Gill Sans" w:cs="Times New Roman"/>
      <w:color w:val="000000"/>
      <w:sz w:val="24"/>
      <w:szCs w:val="24"/>
      <w:lang w:eastAsia="ja-JP"/>
    </w:rPr>
  </w:style>
  <w:style w:type="paragraph" w:customStyle="1" w:styleId="CM4">
    <w:name w:val="CM4"/>
    <w:basedOn w:val="Default"/>
    <w:next w:val="Default"/>
    <w:rsid w:val="00A0558B"/>
    <w:pPr>
      <w:spacing w:after="67"/>
    </w:pPr>
    <w:rPr>
      <w:color w:val="auto"/>
    </w:rPr>
  </w:style>
  <w:style w:type="table" w:styleId="TableGrid">
    <w:name w:val="Table Grid"/>
    <w:basedOn w:val="TableNormal"/>
    <w:uiPriority w:val="59"/>
    <w:rsid w:val="00A0558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558B"/>
    <w:rPr>
      <w:color w:val="0000FF"/>
      <w:u w:val="single"/>
    </w:rPr>
  </w:style>
  <w:style w:type="character" w:styleId="Strong">
    <w:name w:val="Strong"/>
    <w:uiPriority w:val="22"/>
    <w:qFormat/>
    <w:rsid w:val="00A0558B"/>
    <w:rPr>
      <w:b/>
    </w:rPr>
  </w:style>
  <w:style w:type="character" w:styleId="PageNumber">
    <w:name w:val="page number"/>
    <w:uiPriority w:val="99"/>
    <w:semiHidden/>
    <w:unhideWhenUsed/>
    <w:rsid w:val="00A0558B"/>
    <w:rPr>
      <w:rFonts w:cs="Times New Roman"/>
    </w:rPr>
  </w:style>
  <w:style w:type="paragraph" w:styleId="TOCHeading">
    <w:name w:val="TOC Heading"/>
    <w:basedOn w:val="Heading1"/>
    <w:next w:val="Normal"/>
    <w:uiPriority w:val="39"/>
    <w:unhideWhenUsed/>
    <w:qFormat/>
    <w:rsid w:val="00A0558B"/>
    <w:pPr>
      <w:spacing w:line="276" w:lineRule="auto"/>
      <w:outlineLvl w:val="9"/>
    </w:pPr>
    <w:rPr>
      <w:color w:val="365F91"/>
      <w:sz w:val="28"/>
      <w:szCs w:val="28"/>
    </w:rPr>
  </w:style>
  <w:style w:type="paragraph" w:styleId="TOC1">
    <w:name w:val="toc 1"/>
    <w:basedOn w:val="Normal"/>
    <w:next w:val="Normal"/>
    <w:autoRedefine/>
    <w:uiPriority w:val="39"/>
    <w:unhideWhenUsed/>
    <w:rsid w:val="00A0558B"/>
    <w:pPr>
      <w:tabs>
        <w:tab w:val="right" w:leader="dot" w:pos="10610"/>
      </w:tabs>
      <w:spacing w:before="120"/>
    </w:pPr>
    <w:rPr>
      <w:rFonts w:ascii="Times New Roman" w:hAnsi="Times New Roman"/>
      <w:noProof/>
    </w:rPr>
  </w:style>
  <w:style w:type="paragraph" w:styleId="BalloonText">
    <w:name w:val="Balloon Text"/>
    <w:basedOn w:val="Normal"/>
    <w:link w:val="BalloonTextChar"/>
    <w:uiPriority w:val="99"/>
    <w:semiHidden/>
    <w:unhideWhenUsed/>
    <w:rsid w:val="00A0558B"/>
    <w:rPr>
      <w:rFonts w:ascii="Lucida Grande" w:hAnsi="Lucida Grande"/>
      <w:sz w:val="18"/>
      <w:szCs w:val="18"/>
      <w:lang w:eastAsia="en-US"/>
    </w:rPr>
  </w:style>
  <w:style w:type="character" w:customStyle="1" w:styleId="BalloonTextChar">
    <w:name w:val="Balloon Text Char"/>
    <w:link w:val="BalloonText"/>
    <w:uiPriority w:val="99"/>
    <w:semiHidden/>
    <w:rsid w:val="00A0558B"/>
    <w:rPr>
      <w:rFonts w:ascii="Lucida Grande" w:eastAsia="MS Mincho" w:hAnsi="Lucida Grande" w:cs="Times New Roman"/>
      <w:sz w:val="18"/>
      <w:szCs w:val="18"/>
    </w:rPr>
  </w:style>
  <w:style w:type="paragraph" w:styleId="TOC2">
    <w:name w:val="toc 2"/>
    <w:basedOn w:val="Normal"/>
    <w:next w:val="Normal"/>
    <w:autoRedefine/>
    <w:uiPriority w:val="39"/>
    <w:unhideWhenUsed/>
    <w:rsid w:val="00A0558B"/>
    <w:rPr>
      <w:sz w:val="22"/>
      <w:szCs w:val="22"/>
    </w:rPr>
  </w:style>
  <w:style w:type="paragraph" w:styleId="TOC3">
    <w:name w:val="toc 3"/>
    <w:basedOn w:val="Normal"/>
    <w:next w:val="Normal"/>
    <w:autoRedefine/>
    <w:uiPriority w:val="39"/>
    <w:semiHidden/>
    <w:unhideWhenUsed/>
    <w:rsid w:val="00A0558B"/>
    <w:pPr>
      <w:ind w:left="240"/>
    </w:pPr>
    <w:rPr>
      <w:i/>
      <w:sz w:val="22"/>
      <w:szCs w:val="22"/>
    </w:rPr>
  </w:style>
  <w:style w:type="paragraph" w:styleId="TOC4">
    <w:name w:val="toc 4"/>
    <w:basedOn w:val="Normal"/>
    <w:next w:val="Normal"/>
    <w:autoRedefine/>
    <w:uiPriority w:val="39"/>
    <w:semiHidden/>
    <w:unhideWhenUsed/>
    <w:rsid w:val="00A0558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A0558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A0558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A0558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A0558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A0558B"/>
    <w:pPr>
      <w:pBdr>
        <w:between w:val="double" w:sz="6" w:space="0" w:color="auto"/>
      </w:pBdr>
      <w:ind w:left="1680"/>
    </w:pPr>
    <w:rPr>
      <w:sz w:val="20"/>
      <w:szCs w:val="20"/>
    </w:rPr>
  </w:style>
  <w:style w:type="paragraph" w:styleId="NormalWeb">
    <w:name w:val="Normal (Web)"/>
    <w:basedOn w:val="Normal"/>
    <w:uiPriority w:val="99"/>
    <w:unhideWhenUsed/>
    <w:rsid w:val="00A0558B"/>
    <w:pPr>
      <w:spacing w:before="100" w:beforeAutospacing="1" w:after="100" w:afterAutospacing="1"/>
    </w:pPr>
    <w:rPr>
      <w:rFonts w:ascii="Times" w:hAnsi="Times"/>
      <w:sz w:val="20"/>
      <w:szCs w:val="20"/>
    </w:rPr>
  </w:style>
  <w:style w:type="character" w:customStyle="1" w:styleId="apple-tab-span">
    <w:name w:val="apple-tab-span"/>
    <w:rsid w:val="00A0558B"/>
  </w:style>
  <w:style w:type="character" w:styleId="FollowedHyperlink">
    <w:name w:val="FollowedHyperlink"/>
    <w:uiPriority w:val="99"/>
    <w:semiHidden/>
    <w:unhideWhenUsed/>
    <w:rsid w:val="00A0558B"/>
    <w:rPr>
      <w:color w:val="800080"/>
      <w:u w:val="single"/>
    </w:rPr>
  </w:style>
  <w:style w:type="paragraph" w:customStyle="1" w:styleId="CRtitle">
    <w:name w:val="CRtitle"/>
    <w:basedOn w:val="Normal"/>
    <w:link w:val="CRtitleChar"/>
    <w:rsid w:val="00A0558B"/>
    <w:rPr>
      <w:rFonts w:ascii="Arial" w:hAnsi="Arial"/>
      <w:b/>
      <w:color w:val="000080"/>
      <w:sz w:val="20"/>
      <w:szCs w:val="20"/>
      <w:lang w:eastAsia="en-US"/>
    </w:rPr>
  </w:style>
  <w:style w:type="character" w:customStyle="1" w:styleId="CRtitleChar">
    <w:name w:val="CRtitle Char"/>
    <w:link w:val="CRtitle"/>
    <w:locked/>
    <w:rsid w:val="00A0558B"/>
    <w:rPr>
      <w:rFonts w:ascii="Arial" w:eastAsia="MS Mincho" w:hAnsi="Arial" w:cs="Times New Roman"/>
      <w:b/>
      <w:color w:val="000080"/>
      <w:sz w:val="20"/>
      <w:szCs w:val="20"/>
    </w:rPr>
  </w:style>
  <w:style w:type="paragraph" w:customStyle="1" w:styleId="CM5">
    <w:name w:val="CM5"/>
    <w:basedOn w:val="Default"/>
    <w:next w:val="Default"/>
    <w:rsid w:val="00A0558B"/>
    <w:pPr>
      <w:spacing w:after="360"/>
    </w:pPr>
    <w:rPr>
      <w:color w:val="auto"/>
      <w:lang w:eastAsia="en-US"/>
    </w:rPr>
  </w:style>
  <w:style w:type="paragraph" w:styleId="BodyText">
    <w:name w:val="Body Text"/>
    <w:basedOn w:val="Normal"/>
    <w:link w:val="BodyTextChar"/>
    <w:uiPriority w:val="99"/>
    <w:rsid w:val="00A0558B"/>
    <w:rPr>
      <w:rFonts w:ascii="Times New Roman" w:hAnsi="Times New Roman"/>
      <w:sz w:val="20"/>
      <w:szCs w:val="20"/>
      <w:lang w:eastAsia="en-US"/>
    </w:rPr>
  </w:style>
  <w:style w:type="character" w:customStyle="1" w:styleId="BodyTextChar">
    <w:name w:val="Body Text Char"/>
    <w:link w:val="BodyText"/>
    <w:uiPriority w:val="99"/>
    <w:rsid w:val="00A0558B"/>
    <w:rPr>
      <w:rFonts w:ascii="Times New Roman" w:eastAsia="MS Mincho" w:hAnsi="Times New Roman" w:cs="Times New Roman"/>
      <w:sz w:val="20"/>
      <w:szCs w:val="20"/>
    </w:rPr>
  </w:style>
  <w:style w:type="character" w:styleId="Emphasis">
    <w:name w:val="Emphasis"/>
    <w:uiPriority w:val="20"/>
    <w:qFormat/>
    <w:rsid w:val="00A0558B"/>
    <w:rPr>
      <w:i/>
    </w:rPr>
  </w:style>
  <w:style w:type="character" w:customStyle="1" w:styleId="st">
    <w:name w:val="st"/>
    <w:rsid w:val="00A0558B"/>
  </w:style>
  <w:style w:type="paragraph" w:styleId="BodyTextIndent">
    <w:name w:val="Body Text Indent"/>
    <w:basedOn w:val="Normal"/>
    <w:link w:val="BodyTextIndentChar"/>
    <w:uiPriority w:val="99"/>
    <w:semiHidden/>
    <w:unhideWhenUsed/>
    <w:rsid w:val="00A0558B"/>
    <w:pPr>
      <w:spacing w:after="120"/>
      <w:ind w:left="360"/>
    </w:pPr>
  </w:style>
  <w:style w:type="character" w:customStyle="1" w:styleId="BodyTextIndentChar">
    <w:name w:val="Body Text Indent Char"/>
    <w:basedOn w:val="DefaultParagraphFont"/>
    <w:link w:val="BodyTextIndent"/>
    <w:uiPriority w:val="99"/>
    <w:semiHidden/>
    <w:rsid w:val="00A0558B"/>
    <w:rPr>
      <w:rFonts w:ascii="Cambria" w:eastAsia="MS Mincho" w:hAnsi="Cambria" w:cs="Times New Roman"/>
      <w:sz w:val="24"/>
      <w:szCs w:val="24"/>
      <w:lang w:eastAsia="ja-JP"/>
    </w:rPr>
  </w:style>
  <w:style w:type="character" w:styleId="UnresolvedMention">
    <w:name w:val="Unresolved Mention"/>
    <w:basedOn w:val="DefaultParagraphFont"/>
    <w:uiPriority w:val="99"/>
    <w:semiHidden/>
    <w:unhideWhenUsed/>
    <w:rsid w:val="00A0558B"/>
    <w:rPr>
      <w:color w:val="605E5C"/>
      <w:shd w:val="clear" w:color="auto" w:fill="E1DFDD"/>
    </w:rPr>
  </w:style>
  <w:style w:type="table" w:styleId="GridTable1Light-Accent3">
    <w:name w:val="Grid Table 1 Light Accent 3"/>
    <w:basedOn w:val="TableNormal"/>
    <w:uiPriority w:val="46"/>
    <w:rsid w:val="003174D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LTC/etools/evacuation/checklists/eap.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mergency.cdc.gov/cerc/manual/index.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support1.citytech.cuny.edu/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DL</cp:lastModifiedBy>
  <cp:revision>2</cp:revision>
  <dcterms:created xsi:type="dcterms:W3CDTF">2021-11-04T04:03:00Z</dcterms:created>
  <dcterms:modified xsi:type="dcterms:W3CDTF">2021-11-04T04:03:00Z</dcterms:modified>
</cp:coreProperties>
</file>