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FF55" w14:textId="45F12B09" w:rsidR="00C42475" w:rsidRPr="00D41098" w:rsidRDefault="00C42475" w:rsidP="00D41098">
      <w:pPr>
        <w:jc w:val="center"/>
        <w:rPr>
          <w:b/>
          <w:bCs/>
          <w:sz w:val="28"/>
          <w:szCs w:val="28"/>
        </w:rPr>
      </w:pPr>
      <w:r w:rsidRPr="00D41098">
        <w:rPr>
          <w:b/>
          <w:bCs/>
          <w:sz w:val="28"/>
          <w:szCs w:val="28"/>
        </w:rPr>
        <w:t>DEN1100 Faculty Calibration</w:t>
      </w:r>
    </w:p>
    <w:p w14:paraId="278E504C" w14:textId="36ADB5ED" w:rsidR="00C42475" w:rsidRDefault="00C42475">
      <w:r>
        <w:t xml:space="preserve">Per CODA Standard </w:t>
      </w:r>
      <w:r w:rsidRPr="00C42475">
        <w:t>2-24</w:t>
      </w:r>
      <w:r>
        <w:t>,</w:t>
      </w:r>
      <w:r w:rsidRPr="00C42475">
        <w:t xml:space="preserve"> </w:t>
      </w:r>
      <w:r w:rsidRPr="00C42475">
        <w:rPr>
          <w:b/>
          <w:bCs/>
        </w:rPr>
        <w:t xml:space="preserve">the dental hygiene program must have a formal, written curriculum management plan, which includes a defined mechanism for coordinating instruction among dental hygiene program faculty. </w:t>
      </w:r>
      <w:r w:rsidRPr="00C42475">
        <w:t>Periodic workshops and in-service sessions should be held for the dissemination of information and modifications. Examples of evidence to demonstrate compliance may include documentation of calibration exercises</w:t>
      </w:r>
    </w:p>
    <w:tbl>
      <w:tblPr>
        <w:tblStyle w:val="TableGrid"/>
        <w:tblpPr w:leftFromText="180" w:rightFromText="180" w:vertAnchor="text" w:horzAnchor="margin" w:tblpX="-95" w:tblpY="3034"/>
        <w:tblW w:w="9815" w:type="dxa"/>
        <w:tblLayout w:type="fixed"/>
        <w:tblLook w:val="04A0" w:firstRow="1" w:lastRow="0" w:firstColumn="1" w:lastColumn="0" w:noHBand="0" w:noVBand="1"/>
      </w:tblPr>
      <w:tblGrid>
        <w:gridCol w:w="1805"/>
        <w:gridCol w:w="1335"/>
        <w:gridCol w:w="1335"/>
        <w:gridCol w:w="1335"/>
        <w:gridCol w:w="1335"/>
        <w:gridCol w:w="1335"/>
        <w:gridCol w:w="1335"/>
      </w:tblGrid>
      <w:tr w:rsidR="00C211A4" w14:paraId="12CF3622" w14:textId="77777777" w:rsidTr="00CB6E65">
        <w:trPr>
          <w:trHeight w:val="532"/>
        </w:trPr>
        <w:tc>
          <w:tcPr>
            <w:tcW w:w="1805" w:type="dxa"/>
            <w:shd w:val="clear" w:color="auto" w:fill="DEEAF6" w:themeFill="accent5" w:themeFillTint="33"/>
          </w:tcPr>
          <w:p w14:paraId="6DBD5DF3" w14:textId="77777777" w:rsidR="00CB6E65" w:rsidRDefault="00CB6E65" w:rsidP="00CB6E65"/>
          <w:p w14:paraId="478769C9" w14:textId="20120102" w:rsidR="00C211A4" w:rsidRDefault="00DA412F" w:rsidP="00CB6E65">
            <w:r>
              <w:t>Instrument</w:t>
            </w:r>
          </w:p>
        </w:tc>
        <w:tc>
          <w:tcPr>
            <w:tcW w:w="1335" w:type="dxa"/>
            <w:vMerge w:val="restart"/>
            <w:shd w:val="clear" w:color="auto" w:fill="DEEAF6" w:themeFill="accent5" w:themeFillTint="33"/>
          </w:tcPr>
          <w:p w14:paraId="30F21F82" w14:textId="77777777" w:rsidR="00C211A4" w:rsidRDefault="00C211A4" w:rsidP="00DA412F">
            <w:r>
              <w:t>11/12 Explorer</w:t>
            </w:r>
          </w:p>
        </w:tc>
        <w:tc>
          <w:tcPr>
            <w:tcW w:w="1335" w:type="dxa"/>
            <w:vMerge w:val="restart"/>
            <w:shd w:val="clear" w:color="auto" w:fill="DEEAF6" w:themeFill="accent5" w:themeFillTint="33"/>
          </w:tcPr>
          <w:p w14:paraId="53AF8FBF" w14:textId="77777777" w:rsidR="00C211A4" w:rsidRDefault="00C211A4" w:rsidP="00DA412F">
            <w:r>
              <w:t>Anterior/Posterior Sickle Scalers</w:t>
            </w:r>
          </w:p>
        </w:tc>
        <w:tc>
          <w:tcPr>
            <w:tcW w:w="1335" w:type="dxa"/>
            <w:vMerge w:val="restart"/>
            <w:shd w:val="clear" w:color="auto" w:fill="DEEAF6" w:themeFill="accent5" w:themeFillTint="33"/>
          </w:tcPr>
          <w:p w14:paraId="112A8435" w14:textId="77777777" w:rsidR="00C211A4" w:rsidRDefault="00C211A4" w:rsidP="00DA412F">
            <w:r>
              <w:t>Universal Curet</w:t>
            </w:r>
          </w:p>
        </w:tc>
        <w:tc>
          <w:tcPr>
            <w:tcW w:w="1335" w:type="dxa"/>
            <w:vMerge w:val="restart"/>
            <w:shd w:val="clear" w:color="auto" w:fill="DEEAF6" w:themeFill="accent5" w:themeFillTint="33"/>
          </w:tcPr>
          <w:p w14:paraId="271E955C" w14:textId="77777777" w:rsidR="00C211A4" w:rsidRDefault="00C211A4" w:rsidP="00DA412F">
            <w:r>
              <w:t>Area Specific Curets</w:t>
            </w:r>
          </w:p>
        </w:tc>
        <w:tc>
          <w:tcPr>
            <w:tcW w:w="1335" w:type="dxa"/>
            <w:vMerge w:val="restart"/>
            <w:shd w:val="clear" w:color="auto" w:fill="DEEAF6" w:themeFill="accent5" w:themeFillTint="33"/>
          </w:tcPr>
          <w:p w14:paraId="5B54B56C" w14:textId="77777777" w:rsidR="00C211A4" w:rsidRDefault="00C211A4" w:rsidP="00DA412F">
            <w:r>
              <w:t>Periodontal Probe</w:t>
            </w:r>
          </w:p>
        </w:tc>
        <w:tc>
          <w:tcPr>
            <w:tcW w:w="1335" w:type="dxa"/>
            <w:vMerge w:val="restart"/>
            <w:shd w:val="clear" w:color="auto" w:fill="DEEAF6" w:themeFill="accent5" w:themeFillTint="33"/>
          </w:tcPr>
          <w:p w14:paraId="5BC0E99E" w14:textId="77777777" w:rsidR="00C211A4" w:rsidRDefault="00C211A4" w:rsidP="00DA412F">
            <w:r>
              <w:t>Sharpening Technique</w:t>
            </w:r>
          </w:p>
        </w:tc>
      </w:tr>
      <w:tr w:rsidR="00C211A4" w14:paraId="21912AED" w14:textId="77777777" w:rsidTr="00CB6E65">
        <w:trPr>
          <w:trHeight w:val="532"/>
        </w:trPr>
        <w:tc>
          <w:tcPr>
            <w:tcW w:w="1805" w:type="dxa"/>
            <w:shd w:val="clear" w:color="auto" w:fill="E2EFD9" w:themeFill="accent6" w:themeFillTint="33"/>
          </w:tcPr>
          <w:p w14:paraId="0AB6C21F" w14:textId="7E2BC93D" w:rsidR="00C211A4" w:rsidRDefault="00DA412F" w:rsidP="00DA412F">
            <w:r>
              <w:t>Fall 2024 DEN1100 Faculty</w:t>
            </w:r>
          </w:p>
        </w:tc>
        <w:tc>
          <w:tcPr>
            <w:tcW w:w="1335" w:type="dxa"/>
            <w:vMerge/>
          </w:tcPr>
          <w:p w14:paraId="2041E16D" w14:textId="77777777" w:rsidR="00C211A4" w:rsidRDefault="00C211A4" w:rsidP="00DA412F"/>
        </w:tc>
        <w:tc>
          <w:tcPr>
            <w:tcW w:w="1335" w:type="dxa"/>
            <w:vMerge/>
          </w:tcPr>
          <w:p w14:paraId="1A71D4FD" w14:textId="77777777" w:rsidR="00C211A4" w:rsidRDefault="00C211A4" w:rsidP="00DA412F"/>
        </w:tc>
        <w:tc>
          <w:tcPr>
            <w:tcW w:w="1335" w:type="dxa"/>
            <w:vMerge/>
          </w:tcPr>
          <w:p w14:paraId="1C049ED7" w14:textId="77777777" w:rsidR="00C211A4" w:rsidRDefault="00C211A4" w:rsidP="00DA412F"/>
        </w:tc>
        <w:tc>
          <w:tcPr>
            <w:tcW w:w="1335" w:type="dxa"/>
            <w:vMerge/>
          </w:tcPr>
          <w:p w14:paraId="784E6908" w14:textId="77777777" w:rsidR="00C211A4" w:rsidRDefault="00C211A4" w:rsidP="00DA412F"/>
        </w:tc>
        <w:tc>
          <w:tcPr>
            <w:tcW w:w="1335" w:type="dxa"/>
            <w:vMerge/>
          </w:tcPr>
          <w:p w14:paraId="73204A52" w14:textId="77777777" w:rsidR="00C211A4" w:rsidRDefault="00C211A4" w:rsidP="00DA412F"/>
        </w:tc>
        <w:tc>
          <w:tcPr>
            <w:tcW w:w="1335" w:type="dxa"/>
            <w:vMerge/>
          </w:tcPr>
          <w:p w14:paraId="38D013B7" w14:textId="77777777" w:rsidR="00C211A4" w:rsidRDefault="00C211A4" w:rsidP="00DA412F"/>
        </w:tc>
      </w:tr>
      <w:tr w:rsidR="00D41098" w14:paraId="63C48C19" w14:textId="77777777" w:rsidTr="00CB6E65">
        <w:trPr>
          <w:trHeight w:val="537"/>
        </w:trPr>
        <w:tc>
          <w:tcPr>
            <w:tcW w:w="1805" w:type="dxa"/>
            <w:shd w:val="clear" w:color="auto" w:fill="E2EFD9" w:themeFill="accent6" w:themeFillTint="33"/>
          </w:tcPr>
          <w:p w14:paraId="325C60C3" w14:textId="77777777" w:rsidR="00D41098" w:rsidRDefault="00D41098" w:rsidP="00DA412F">
            <w:r>
              <w:t xml:space="preserve">Prof. Brunetti </w:t>
            </w:r>
          </w:p>
        </w:tc>
        <w:tc>
          <w:tcPr>
            <w:tcW w:w="1335" w:type="dxa"/>
          </w:tcPr>
          <w:p w14:paraId="1CF8EB57" w14:textId="77777777" w:rsidR="00D41098" w:rsidRDefault="00D41098" w:rsidP="00DA412F"/>
        </w:tc>
        <w:tc>
          <w:tcPr>
            <w:tcW w:w="1335" w:type="dxa"/>
          </w:tcPr>
          <w:p w14:paraId="14691B8F" w14:textId="77777777" w:rsidR="00D41098" w:rsidRDefault="00D41098" w:rsidP="00DA412F"/>
        </w:tc>
        <w:tc>
          <w:tcPr>
            <w:tcW w:w="1335" w:type="dxa"/>
          </w:tcPr>
          <w:p w14:paraId="1F530435" w14:textId="77777777" w:rsidR="00D41098" w:rsidRDefault="00D41098" w:rsidP="00DA412F"/>
        </w:tc>
        <w:tc>
          <w:tcPr>
            <w:tcW w:w="1335" w:type="dxa"/>
          </w:tcPr>
          <w:p w14:paraId="4ED53520" w14:textId="77777777" w:rsidR="00D41098" w:rsidRDefault="00D41098" w:rsidP="00DA412F"/>
        </w:tc>
        <w:tc>
          <w:tcPr>
            <w:tcW w:w="1335" w:type="dxa"/>
          </w:tcPr>
          <w:p w14:paraId="6463FE97" w14:textId="77777777" w:rsidR="00D41098" w:rsidRDefault="00D41098" w:rsidP="00DA412F"/>
        </w:tc>
        <w:tc>
          <w:tcPr>
            <w:tcW w:w="1335" w:type="dxa"/>
          </w:tcPr>
          <w:p w14:paraId="6B2ACB42" w14:textId="77777777" w:rsidR="00D41098" w:rsidRDefault="00D41098" w:rsidP="00DA412F"/>
        </w:tc>
      </w:tr>
      <w:tr w:rsidR="00D41098" w14:paraId="5EAD678B" w14:textId="77777777" w:rsidTr="00CB6E65">
        <w:trPr>
          <w:trHeight w:val="537"/>
        </w:trPr>
        <w:tc>
          <w:tcPr>
            <w:tcW w:w="1805" w:type="dxa"/>
            <w:shd w:val="clear" w:color="auto" w:fill="E2EFD9" w:themeFill="accent6" w:themeFillTint="33"/>
          </w:tcPr>
          <w:p w14:paraId="063F954B" w14:textId="77777777" w:rsidR="00D41098" w:rsidRDefault="00D41098" w:rsidP="00DA412F">
            <w:r>
              <w:t>Prof. Dimino</w:t>
            </w:r>
          </w:p>
        </w:tc>
        <w:tc>
          <w:tcPr>
            <w:tcW w:w="1335" w:type="dxa"/>
          </w:tcPr>
          <w:p w14:paraId="504F1B89" w14:textId="77777777" w:rsidR="00D41098" w:rsidRDefault="00D41098" w:rsidP="00DA412F"/>
        </w:tc>
        <w:tc>
          <w:tcPr>
            <w:tcW w:w="1335" w:type="dxa"/>
          </w:tcPr>
          <w:p w14:paraId="05E046F1" w14:textId="77777777" w:rsidR="00D41098" w:rsidRDefault="00D41098" w:rsidP="00DA412F"/>
        </w:tc>
        <w:tc>
          <w:tcPr>
            <w:tcW w:w="1335" w:type="dxa"/>
          </w:tcPr>
          <w:p w14:paraId="080E3BCF" w14:textId="77777777" w:rsidR="00D41098" w:rsidRDefault="00D41098" w:rsidP="00DA412F"/>
        </w:tc>
        <w:tc>
          <w:tcPr>
            <w:tcW w:w="1335" w:type="dxa"/>
          </w:tcPr>
          <w:p w14:paraId="251926C7" w14:textId="77777777" w:rsidR="00D41098" w:rsidRDefault="00D41098" w:rsidP="00DA412F"/>
        </w:tc>
        <w:tc>
          <w:tcPr>
            <w:tcW w:w="1335" w:type="dxa"/>
          </w:tcPr>
          <w:p w14:paraId="50F16B12" w14:textId="77777777" w:rsidR="00D41098" w:rsidRDefault="00D41098" w:rsidP="00DA412F"/>
        </w:tc>
        <w:tc>
          <w:tcPr>
            <w:tcW w:w="1335" w:type="dxa"/>
          </w:tcPr>
          <w:p w14:paraId="58A57604" w14:textId="77777777" w:rsidR="00D41098" w:rsidRDefault="00D41098" w:rsidP="00DA412F"/>
        </w:tc>
      </w:tr>
      <w:tr w:rsidR="00D41098" w14:paraId="517BC68C" w14:textId="77777777" w:rsidTr="00CB6E65">
        <w:trPr>
          <w:trHeight w:val="537"/>
        </w:trPr>
        <w:tc>
          <w:tcPr>
            <w:tcW w:w="1805" w:type="dxa"/>
            <w:shd w:val="clear" w:color="auto" w:fill="E2EFD9" w:themeFill="accent6" w:themeFillTint="33"/>
          </w:tcPr>
          <w:p w14:paraId="3D6A3582" w14:textId="77777777" w:rsidR="00D41098" w:rsidRDefault="00D41098" w:rsidP="00DA412F">
            <w:r>
              <w:t>Prof. Childs</w:t>
            </w:r>
          </w:p>
        </w:tc>
        <w:tc>
          <w:tcPr>
            <w:tcW w:w="1335" w:type="dxa"/>
          </w:tcPr>
          <w:p w14:paraId="2E93994A" w14:textId="77777777" w:rsidR="00D41098" w:rsidRDefault="00D41098" w:rsidP="00DA412F"/>
        </w:tc>
        <w:tc>
          <w:tcPr>
            <w:tcW w:w="1335" w:type="dxa"/>
          </w:tcPr>
          <w:p w14:paraId="6F6C7649" w14:textId="77777777" w:rsidR="00D41098" w:rsidRDefault="00D41098" w:rsidP="00DA412F"/>
        </w:tc>
        <w:tc>
          <w:tcPr>
            <w:tcW w:w="1335" w:type="dxa"/>
          </w:tcPr>
          <w:p w14:paraId="2F02B685" w14:textId="77777777" w:rsidR="00D41098" w:rsidRDefault="00D41098" w:rsidP="00DA412F"/>
        </w:tc>
        <w:tc>
          <w:tcPr>
            <w:tcW w:w="1335" w:type="dxa"/>
          </w:tcPr>
          <w:p w14:paraId="1620EAA7" w14:textId="77777777" w:rsidR="00D41098" w:rsidRDefault="00D41098" w:rsidP="00DA412F"/>
        </w:tc>
        <w:tc>
          <w:tcPr>
            <w:tcW w:w="1335" w:type="dxa"/>
          </w:tcPr>
          <w:p w14:paraId="07D6D673" w14:textId="77777777" w:rsidR="00D41098" w:rsidRDefault="00D41098" w:rsidP="00DA412F"/>
        </w:tc>
        <w:tc>
          <w:tcPr>
            <w:tcW w:w="1335" w:type="dxa"/>
          </w:tcPr>
          <w:p w14:paraId="57ED9BB8" w14:textId="77777777" w:rsidR="00D41098" w:rsidRDefault="00D41098" w:rsidP="00DA412F"/>
        </w:tc>
      </w:tr>
      <w:tr w:rsidR="00D41098" w14:paraId="50AC9E2B" w14:textId="77777777" w:rsidTr="00CB6E65">
        <w:trPr>
          <w:trHeight w:val="537"/>
        </w:trPr>
        <w:tc>
          <w:tcPr>
            <w:tcW w:w="1805" w:type="dxa"/>
            <w:shd w:val="clear" w:color="auto" w:fill="E2EFD9" w:themeFill="accent6" w:themeFillTint="33"/>
          </w:tcPr>
          <w:p w14:paraId="147CC77F" w14:textId="77777777" w:rsidR="00D41098" w:rsidRDefault="00D41098" w:rsidP="00DA412F">
            <w:r>
              <w:t>Prof. Lam</w:t>
            </w:r>
          </w:p>
        </w:tc>
        <w:tc>
          <w:tcPr>
            <w:tcW w:w="1335" w:type="dxa"/>
          </w:tcPr>
          <w:p w14:paraId="11FE166D" w14:textId="77777777" w:rsidR="00D41098" w:rsidRDefault="00D41098" w:rsidP="00DA412F"/>
        </w:tc>
        <w:tc>
          <w:tcPr>
            <w:tcW w:w="1335" w:type="dxa"/>
          </w:tcPr>
          <w:p w14:paraId="5BAF0B6B" w14:textId="77777777" w:rsidR="00D41098" w:rsidRDefault="00D41098" w:rsidP="00DA412F"/>
        </w:tc>
        <w:tc>
          <w:tcPr>
            <w:tcW w:w="1335" w:type="dxa"/>
          </w:tcPr>
          <w:p w14:paraId="6555EE12" w14:textId="77777777" w:rsidR="00D41098" w:rsidRDefault="00D41098" w:rsidP="00DA412F"/>
        </w:tc>
        <w:tc>
          <w:tcPr>
            <w:tcW w:w="1335" w:type="dxa"/>
          </w:tcPr>
          <w:p w14:paraId="2C9B1F74" w14:textId="77777777" w:rsidR="00D41098" w:rsidRDefault="00D41098" w:rsidP="00DA412F"/>
        </w:tc>
        <w:tc>
          <w:tcPr>
            <w:tcW w:w="1335" w:type="dxa"/>
          </w:tcPr>
          <w:p w14:paraId="561262BB" w14:textId="77777777" w:rsidR="00D41098" w:rsidRDefault="00D41098" w:rsidP="00DA412F"/>
        </w:tc>
        <w:tc>
          <w:tcPr>
            <w:tcW w:w="1335" w:type="dxa"/>
          </w:tcPr>
          <w:p w14:paraId="1A62859D" w14:textId="77777777" w:rsidR="00D41098" w:rsidRDefault="00D41098" w:rsidP="00DA412F"/>
        </w:tc>
      </w:tr>
      <w:tr w:rsidR="00D41098" w14:paraId="56CC64D7" w14:textId="77777777" w:rsidTr="00CB6E65">
        <w:trPr>
          <w:trHeight w:val="537"/>
        </w:trPr>
        <w:tc>
          <w:tcPr>
            <w:tcW w:w="1805" w:type="dxa"/>
            <w:shd w:val="clear" w:color="auto" w:fill="E2EFD9" w:themeFill="accent6" w:themeFillTint="33"/>
          </w:tcPr>
          <w:p w14:paraId="093CB210" w14:textId="77777777" w:rsidR="00D41098" w:rsidRDefault="00D41098" w:rsidP="00DA412F">
            <w:r>
              <w:t>Prof. Loccisano</w:t>
            </w:r>
          </w:p>
        </w:tc>
        <w:tc>
          <w:tcPr>
            <w:tcW w:w="1335" w:type="dxa"/>
          </w:tcPr>
          <w:p w14:paraId="7887CC80" w14:textId="77777777" w:rsidR="00D41098" w:rsidRDefault="00D41098" w:rsidP="00DA412F"/>
        </w:tc>
        <w:tc>
          <w:tcPr>
            <w:tcW w:w="1335" w:type="dxa"/>
          </w:tcPr>
          <w:p w14:paraId="0CBD4FA7" w14:textId="77777777" w:rsidR="00D41098" w:rsidRDefault="00D41098" w:rsidP="00DA412F"/>
        </w:tc>
        <w:tc>
          <w:tcPr>
            <w:tcW w:w="1335" w:type="dxa"/>
          </w:tcPr>
          <w:p w14:paraId="55A5649A" w14:textId="77777777" w:rsidR="00D41098" w:rsidRDefault="00D41098" w:rsidP="00DA412F"/>
        </w:tc>
        <w:tc>
          <w:tcPr>
            <w:tcW w:w="1335" w:type="dxa"/>
          </w:tcPr>
          <w:p w14:paraId="451144DB" w14:textId="77777777" w:rsidR="00D41098" w:rsidRDefault="00D41098" w:rsidP="00DA412F"/>
        </w:tc>
        <w:tc>
          <w:tcPr>
            <w:tcW w:w="1335" w:type="dxa"/>
          </w:tcPr>
          <w:p w14:paraId="428B6864" w14:textId="77777777" w:rsidR="00D41098" w:rsidRDefault="00D41098" w:rsidP="00DA412F"/>
        </w:tc>
        <w:tc>
          <w:tcPr>
            <w:tcW w:w="1335" w:type="dxa"/>
          </w:tcPr>
          <w:p w14:paraId="79308E34" w14:textId="77777777" w:rsidR="00D41098" w:rsidRDefault="00D41098" w:rsidP="00DA412F"/>
        </w:tc>
      </w:tr>
      <w:tr w:rsidR="00D41098" w14:paraId="21EBADA2" w14:textId="77777777" w:rsidTr="00CB6E65">
        <w:trPr>
          <w:trHeight w:val="537"/>
        </w:trPr>
        <w:tc>
          <w:tcPr>
            <w:tcW w:w="1805" w:type="dxa"/>
            <w:shd w:val="clear" w:color="auto" w:fill="E2EFD9" w:themeFill="accent6" w:themeFillTint="33"/>
          </w:tcPr>
          <w:p w14:paraId="7A4560FF" w14:textId="77777777" w:rsidR="00D41098" w:rsidRDefault="00D41098" w:rsidP="00DA412F">
            <w:r>
              <w:t xml:space="preserve">Prof. Rossiello </w:t>
            </w:r>
          </w:p>
        </w:tc>
        <w:tc>
          <w:tcPr>
            <w:tcW w:w="1335" w:type="dxa"/>
          </w:tcPr>
          <w:p w14:paraId="52A70F1F" w14:textId="77777777" w:rsidR="00D41098" w:rsidRDefault="00D41098" w:rsidP="00DA412F"/>
        </w:tc>
        <w:tc>
          <w:tcPr>
            <w:tcW w:w="1335" w:type="dxa"/>
          </w:tcPr>
          <w:p w14:paraId="6DFBF518" w14:textId="77777777" w:rsidR="00D41098" w:rsidRDefault="00D41098" w:rsidP="00DA412F"/>
        </w:tc>
        <w:tc>
          <w:tcPr>
            <w:tcW w:w="1335" w:type="dxa"/>
          </w:tcPr>
          <w:p w14:paraId="75F69BF1" w14:textId="77777777" w:rsidR="00D41098" w:rsidRDefault="00D41098" w:rsidP="00DA412F"/>
        </w:tc>
        <w:tc>
          <w:tcPr>
            <w:tcW w:w="1335" w:type="dxa"/>
          </w:tcPr>
          <w:p w14:paraId="10C96111" w14:textId="77777777" w:rsidR="00D41098" w:rsidRDefault="00D41098" w:rsidP="00DA412F"/>
        </w:tc>
        <w:tc>
          <w:tcPr>
            <w:tcW w:w="1335" w:type="dxa"/>
          </w:tcPr>
          <w:p w14:paraId="189D8E0A" w14:textId="77777777" w:rsidR="00D41098" w:rsidRDefault="00D41098" w:rsidP="00DA412F"/>
        </w:tc>
        <w:tc>
          <w:tcPr>
            <w:tcW w:w="1335" w:type="dxa"/>
          </w:tcPr>
          <w:p w14:paraId="6F5EC655" w14:textId="77777777" w:rsidR="00D41098" w:rsidRDefault="00D41098" w:rsidP="00DA412F"/>
        </w:tc>
      </w:tr>
      <w:tr w:rsidR="00D41098" w14:paraId="1D2D50FB" w14:textId="77777777" w:rsidTr="00CB6E65">
        <w:trPr>
          <w:trHeight w:val="537"/>
        </w:trPr>
        <w:tc>
          <w:tcPr>
            <w:tcW w:w="1805" w:type="dxa"/>
            <w:shd w:val="clear" w:color="auto" w:fill="E2EFD9" w:themeFill="accent6" w:themeFillTint="33"/>
          </w:tcPr>
          <w:p w14:paraId="6970D1FA" w14:textId="77777777" w:rsidR="00D41098" w:rsidRDefault="00D41098" w:rsidP="00DA412F">
            <w:r>
              <w:t xml:space="preserve">Prof. </w:t>
            </w:r>
            <w:proofErr w:type="spellStart"/>
            <w:r>
              <w:t>Steblay</w:t>
            </w:r>
            <w:proofErr w:type="spellEnd"/>
          </w:p>
        </w:tc>
        <w:tc>
          <w:tcPr>
            <w:tcW w:w="1335" w:type="dxa"/>
          </w:tcPr>
          <w:p w14:paraId="28345184" w14:textId="77777777" w:rsidR="00D41098" w:rsidRDefault="00D41098" w:rsidP="00DA412F"/>
        </w:tc>
        <w:tc>
          <w:tcPr>
            <w:tcW w:w="1335" w:type="dxa"/>
          </w:tcPr>
          <w:p w14:paraId="7A280BCB" w14:textId="77777777" w:rsidR="00D41098" w:rsidRDefault="00D41098" w:rsidP="00DA412F"/>
        </w:tc>
        <w:tc>
          <w:tcPr>
            <w:tcW w:w="1335" w:type="dxa"/>
          </w:tcPr>
          <w:p w14:paraId="6D595897" w14:textId="77777777" w:rsidR="00D41098" w:rsidRDefault="00D41098" w:rsidP="00DA412F"/>
        </w:tc>
        <w:tc>
          <w:tcPr>
            <w:tcW w:w="1335" w:type="dxa"/>
          </w:tcPr>
          <w:p w14:paraId="17A87DC9" w14:textId="77777777" w:rsidR="00D41098" w:rsidRDefault="00D41098" w:rsidP="00DA412F"/>
        </w:tc>
        <w:tc>
          <w:tcPr>
            <w:tcW w:w="1335" w:type="dxa"/>
          </w:tcPr>
          <w:p w14:paraId="35EE5546" w14:textId="77777777" w:rsidR="00D41098" w:rsidRDefault="00D41098" w:rsidP="00DA412F"/>
        </w:tc>
        <w:tc>
          <w:tcPr>
            <w:tcW w:w="1335" w:type="dxa"/>
          </w:tcPr>
          <w:p w14:paraId="134A1C53" w14:textId="77777777" w:rsidR="00D41098" w:rsidRDefault="00D41098" w:rsidP="00DA412F"/>
        </w:tc>
      </w:tr>
      <w:tr w:rsidR="00D41098" w14:paraId="29F6471E" w14:textId="77777777" w:rsidTr="00CB6E65">
        <w:trPr>
          <w:trHeight w:val="537"/>
        </w:trPr>
        <w:tc>
          <w:tcPr>
            <w:tcW w:w="1805" w:type="dxa"/>
            <w:shd w:val="clear" w:color="auto" w:fill="E2EFD9" w:themeFill="accent6" w:themeFillTint="33"/>
          </w:tcPr>
          <w:p w14:paraId="6E8862D4" w14:textId="77777777" w:rsidR="00D41098" w:rsidRDefault="00D41098" w:rsidP="00DA412F">
            <w:r>
              <w:t xml:space="preserve">Prof. </w:t>
            </w:r>
            <w:proofErr w:type="spellStart"/>
            <w:r>
              <w:t>Vignapiano</w:t>
            </w:r>
            <w:proofErr w:type="spellEnd"/>
          </w:p>
        </w:tc>
        <w:tc>
          <w:tcPr>
            <w:tcW w:w="1335" w:type="dxa"/>
          </w:tcPr>
          <w:p w14:paraId="01446152" w14:textId="77777777" w:rsidR="00D41098" w:rsidRDefault="00D41098" w:rsidP="00DA412F"/>
        </w:tc>
        <w:tc>
          <w:tcPr>
            <w:tcW w:w="1335" w:type="dxa"/>
          </w:tcPr>
          <w:p w14:paraId="37563578" w14:textId="77777777" w:rsidR="00D41098" w:rsidRDefault="00D41098" w:rsidP="00DA412F"/>
        </w:tc>
        <w:tc>
          <w:tcPr>
            <w:tcW w:w="1335" w:type="dxa"/>
          </w:tcPr>
          <w:p w14:paraId="014E1CA8" w14:textId="77777777" w:rsidR="00D41098" w:rsidRDefault="00D41098" w:rsidP="00DA412F"/>
        </w:tc>
        <w:tc>
          <w:tcPr>
            <w:tcW w:w="1335" w:type="dxa"/>
          </w:tcPr>
          <w:p w14:paraId="2CAE12BA" w14:textId="77777777" w:rsidR="00D41098" w:rsidRDefault="00D41098" w:rsidP="00DA412F"/>
        </w:tc>
        <w:tc>
          <w:tcPr>
            <w:tcW w:w="1335" w:type="dxa"/>
          </w:tcPr>
          <w:p w14:paraId="2D113E2B" w14:textId="77777777" w:rsidR="00D41098" w:rsidRDefault="00D41098" w:rsidP="00DA412F"/>
        </w:tc>
        <w:tc>
          <w:tcPr>
            <w:tcW w:w="1335" w:type="dxa"/>
          </w:tcPr>
          <w:p w14:paraId="098AB960" w14:textId="77777777" w:rsidR="00D41098" w:rsidRDefault="00D41098" w:rsidP="00DA412F"/>
        </w:tc>
      </w:tr>
      <w:tr w:rsidR="00D41098" w14:paraId="00CCD21C" w14:textId="77777777" w:rsidTr="00CB6E65">
        <w:trPr>
          <w:trHeight w:val="537"/>
        </w:trPr>
        <w:tc>
          <w:tcPr>
            <w:tcW w:w="1805" w:type="dxa"/>
            <w:shd w:val="clear" w:color="auto" w:fill="E2EFD9" w:themeFill="accent6" w:themeFillTint="33"/>
          </w:tcPr>
          <w:p w14:paraId="681324AC" w14:textId="77777777" w:rsidR="00D41098" w:rsidRDefault="00D41098" w:rsidP="00DA412F">
            <w:r>
              <w:t xml:space="preserve">Prof. Walters </w:t>
            </w:r>
          </w:p>
        </w:tc>
        <w:tc>
          <w:tcPr>
            <w:tcW w:w="1335" w:type="dxa"/>
          </w:tcPr>
          <w:p w14:paraId="4172C9B7" w14:textId="77777777" w:rsidR="00D41098" w:rsidRDefault="00D41098" w:rsidP="00DA412F"/>
        </w:tc>
        <w:tc>
          <w:tcPr>
            <w:tcW w:w="1335" w:type="dxa"/>
          </w:tcPr>
          <w:p w14:paraId="6BB150F0" w14:textId="77777777" w:rsidR="00D41098" w:rsidRDefault="00D41098" w:rsidP="00DA412F"/>
        </w:tc>
        <w:tc>
          <w:tcPr>
            <w:tcW w:w="1335" w:type="dxa"/>
          </w:tcPr>
          <w:p w14:paraId="0C7AF0C4" w14:textId="77777777" w:rsidR="00D41098" w:rsidRDefault="00D41098" w:rsidP="00DA412F"/>
        </w:tc>
        <w:tc>
          <w:tcPr>
            <w:tcW w:w="1335" w:type="dxa"/>
          </w:tcPr>
          <w:p w14:paraId="63734021" w14:textId="77777777" w:rsidR="00D41098" w:rsidRDefault="00D41098" w:rsidP="00DA412F"/>
        </w:tc>
        <w:tc>
          <w:tcPr>
            <w:tcW w:w="1335" w:type="dxa"/>
          </w:tcPr>
          <w:p w14:paraId="57702347" w14:textId="77777777" w:rsidR="00D41098" w:rsidRDefault="00D41098" w:rsidP="00DA412F"/>
        </w:tc>
        <w:tc>
          <w:tcPr>
            <w:tcW w:w="1335" w:type="dxa"/>
          </w:tcPr>
          <w:p w14:paraId="04064D36" w14:textId="77777777" w:rsidR="00D41098" w:rsidRDefault="00D41098" w:rsidP="00DA412F"/>
        </w:tc>
      </w:tr>
      <w:tr w:rsidR="00D41098" w14:paraId="5CE4809A" w14:textId="77777777" w:rsidTr="00CB6E65">
        <w:trPr>
          <w:trHeight w:val="538"/>
        </w:trPr>
        <w:tc>
          <w:tcPr>
            <w:tcW w:w="1805" w:type="dxa"/>
            <w:shd w:val="clear" w:color="auto" w:fill="E2EFD9" w:themeFill="accent6" w:themeFillTint="33"/>
          </w:tcPr>
          <w:p w14:paraId="4CA52635" w14:textId="77777777" w:rsidR="00D41098" w:rsidRDefault="00D41098" w:rsidP="00DA412F">
            <w:r>
              <w:t>Prof. Wyche</w:t>
            </w:r>
          </w:p>
        </w:tc>
        <w:tc>
          <w:tcPr>
            <w:tcW w:w="1335" w:type="dxa"/>
          </w:tcPr>
          <w:p w14:paraId="76B79545" w14:textId="77777777" w:rsidR="00D41098" w:rsidRDefault="00D41098" w:rsidP="00DA412F"/>
        </w:tc>
        <w:tc>
          <w:tcPr>
            <w:tcW w:w="1335" w:type="dxa"/>
          </w:tcPr>
          <w:p w14:paraId="7BE67172" w14:textId="77777777" w:rsidR="00D41098" w:rsidRDefault="00D41098" w:rsidP="00DA412F"/>
        </w:tc>
        <w:tc>
          <w:tcPr>
            <w:tcW w:w="1335" w:type="dxa"/>
          </w:tcPr>
          <w:p w14:paraId="529B2C82" w14:textId="77777777" w:rsidR="00D41098" w:rsidRDefault="00D41098" w:rsidP="00DA412F"/>
        </w:tc>
        <w:tc>
          <w:tcPr>
            <w:tcW w:w="1335" w:type="dxa"/>
          </w:tcPr>
          <w:p w14:paraId="26074813" w14:textId="77777777" w:rsidR="00D41098" w:rsidRDefault="00D41098" w:rsidP="00DA412F"/>
        </w:tc>
        <w:tc>
          <w:tcPr>
            <w:tcW w:w="1335" w:type="dxa"/>
          </w:tcPr>
          <w:p w14:paraId="0064DA5F" w14:textId="77777777" w:rsidR="00D41098" w:rsidRDefault="00D41098" w:rsidP="00DA412F"/>
        </w:tc>
        <w:tc>
          <w:tcPr>
            <w:tcW w:w="1335" w:type="dxa"/>
          </w:tcPr>
          <w:p w14:paraId="381A1D58" w14:textId="77777777" w:rsidR="00D41098" w:rsidRDefault="00D41098" w:rsidP="00DA412F"/>
        </w:tc>
      </w:tr>
    </w:tbl>
    <w:p w14:paraId="1979EE30" w14:textId="3F1DC157" w:rsidR="00F36A55" w:rsidRDefault="00C211A4">
      <w:r>
        <w:t>A</w:t>
      </w:r>
      <w:r w:rsidR="00F36A55">
        <w:t xml:space="preserve">ll faculty assigned to teach in DEN1100 will participate in calibration exercises for each new instrument introduced. For such calibration sessions, faculty will gather in a teaching cubicle 15 minutes prior to the start of the session </w:t>
      </w:r>
      <w:r w:rsidR="007858DB">
        <w:t xml:space="preserve">during which </w:t>
      </w:r>
      <w:r w:rsidR="00F36A55">
        <w:t>the instrument is introduced</w:t>
      </w:r>
      <w:r w:rsidR="007858DB">
        <w:t>,</w:t>
      </w:r>
      <w:r w:rsidR="00F36A55">
        <w:t xml:space="preserve"> or a session immediately following the introduction of the new instrument (if not assigned to teach when such instrument was introduced)</w:t>
      </w:r>
      <w:r w:rsidR="007858DB">
        <w:t>. The objectives are to</w:t>
      </w:r>
      <w:r w:rsidR="00F36A55">
        <w:t xml:space="preserve"> discuss instructional techniques relat</w:t>
      </w:r>
      <w:r w:rsidR="007858DB">
        <w:t>ing</w:t>
      </w:r>
      <w:r w:rsidR="00F36A55">
        <w:t xml:space="preserve"> to each instrument design, uses, selection of correct working end, angulation, insertion, stroke production and sequence</w:t>
      </w:r>
      <w:r w:rsidR="007858DB">
        <w:t>, and demonstrate proper use of each instrument. Peer feedback is most important during calibration exercises, as we are always open to learn with and from each other.</w:t>
      </w:r>
      <w:r w:rsidR="00F36A55">
        <w:t xml:space="preserve"> Such calibration sessions are extremely valuable to ensure </w:t>
      </w:r>
      <w:r w:rsidR="007858DB">
        <w:t>the same</w:t>
      </w:r>
      <w:r w:rsidR="00F36A55">
        <w:t xml:space="preserve"> technique and verbiage is adopted during instruction, as well as during clinical examinations. </w:t>
      </w:r>
    </w:p>
    <w:p w14:paraId="3575C922" w14:textId="77777777" w:rsidR="007858DB" w:rsidRDefault="007858DB"/>
    <w:sectPr w:rsidR="007858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04D1" w14:textId="77777777" w:rsidR="007751C3" w:rsidRDefault="007751C3" w:rsidP="00D41098">
      <w:pPr>
        <w:spacing w:after="0" w:line="240" w:lineRule="auto"/>
      </w:pPr>
      <w:r>
        <w:separator/>
      </w:r>
    </w:p>
  </w:endnote>
  <w:endnote w:type="continuationSeparator" w:id="0">
    <w:p w14:paraId="03C9CAB3" w14:textId="77777777" w:rsidR="007751C3" w:rsidRDefault="007751C3" w:rsidP="00D4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D6FE8" w14:textId="621DEE77" w:rsidR="00D41098" w:rsidRDefault="00D41098">
    <w:pPr>
      <w:pStyle w:val="Footer"/>
    </w:pPr>
    <w:r>
      <w:t>KV 24</w:t>
    </w:r>
  </w:p>
  <w:p w14:paraId="28CC9395" w14:textId="77777777" w:rsidR="00D41098" w:rsidRDefault="00D41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938FD" w14:textId="77777777" w:rsidR="007751C3" w:rsidRDefault="007751C3" w:rsidP="00D41098">
      <w:pPr>
        <w:spacing w:after="0" w:line="240" w:lineRule="auto"/>
      </w:pPr>
      <w:r>
        <w:separator/>
      </w:r>
    </w:p>
  </w:footnote>
  <w:footnote w:type="continuationSeparator" w:id="0">
    <w:p w14:paraId="4BA9D45F" w14:textId="77777777" w:rsidR="007751C3" w:rsidRDefault="007751C3" w:rsidP="00D41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75"/>
    <w:rsid w:val="00173B79"/>
    <w:rsid w:val="003A30BE"/>
    <w:rsid w:val="007751C3"/>
    <w:rsid w:val="007858DB"/>
    <w:rsid w:val="008E44C8"/>
    <w:rsid w:val="009371A0"/>
    <w:rsid w:val="00C211A4"/>
    <w:rsid w:val="00C42475"/>
    <w:rsid w:val="00CB6E65"/>
    <w:rsid w:val="00D41098"/>
    <w:rsid w:val="00DA412F"/>
    <w:rsid w:val="00F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C424"/>
  <w15:chartTrackingRefBased/>
  <w15:docId w15:val="{D49784B6-94C3-4CAA-89DB-8BE85B12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4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4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4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4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4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4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4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4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98"/>
  </w:style>
  <w:style w:type="paragraph" w:styleId="Footer">
    <w:name w:val="footer"/>
    <w:basedOn w:val="Normal"/>
    <w:link w:val="FooterChar"/>
    <w:uiPriority w:val="99"/>
    <w:unhideWhenUsed/>
    <w:rsid w:val="00D41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B028-422D-4239-A510-E3C64D97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1526</Characters>
  <Application>Microsoft Office Word</Application>
  <DocSecurity>0</DocSecurity>
  <Lines>152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Khrystyna Vyprynyuk</dc:creator>
  <cp:keywords/>
  <dc:description/>
  <cp:lastModifiedBy>Khrystyna Vyprynyuk</cp:lastModifiedBy>
  <cp:revision>4</cp:revision>
  <dcterms:created xsi:type="dcterms:W3CDTF">2024-08-02T01:45:00Z</dcterms:created>
  <dcterms:modified xsi:type="dcterms:W3CDTF">2024-08-02T02:48:00Z</dcterms:modified>
</cp:coreProperties>
</file>