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DATE</w:t>
      </w:r>
      <w:r>
        <w:rPr>
          <w:rFonts w:ascii="Times New Roman" w:hAnsi="Times New Roman"/>
          <w:rtl w:val="0"/>
          <w:lang w:val="en-US"/>
        </w:rPr>
        <w:t xml:space="preserve">: </w:t>
        <w:tab/>
        <w:t>March 31, 2024</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TO</w:t>
      </w:r>
      <w:r>
        <w:rPr>
          <w:rFonts w:ascii="Times New Roman" w:hAnsi="Times New Roman"/>
          <w:rtl w:val="0"/>
          <w:lang w:val="en-US"/>
        </w:rPr>
        <w:t xml:space="preserve">: </w:t>
        <w:tab/>
        <w:tab/>
        <w:t>Anne Marie Sowder, Chair of the College Council Curriculum Committee</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FROM</w:t>
      </w:r>
      <w:r>
        <w:rPr>
          <w:rFonts w:ascii="Times New Roman" w:hAnsi="Times New Roman"/>
          <w:rtl w:val="0"/>
          <w:lang w:val="en-US"/>
        </w:rPr>
        <w:t xml:space="preserve">: </w:t>
        <w:tab/>
        <w:t>Curriculum Subcommittee</w:t>
      </w:r>
    </w:p>
    <w:p>
      <w:pPr>
        <w:pStyle w:val="Default"/>
        <w:spacing w:before="0" w:line="240" w:lineRule="auto"/>
        <w:rPr>
          <w:rFonts w:ascii="Times New Roman" w:cs="Times New Roman" w:hAnsi="Times New Roman" w:eastAsia="Times New Roman"/>
        </w:rPr>
      </w:pPr>
      <w:r>
        <w:rPr>
          <w:rFonts w:ascii="Times New Roman" w:cs="Times New Roman" w:hAnsi="Times New Roman" w:eastAsia="Times New Roman"/>
          <w:rtl w:val="0"/>
        </w:rPr>
        <w:tab/>
        <w:tab/>
        <w:t>Sanjoy Chakraborty (Chair), Allison Berkoy, Henry Africk</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RE</w:t>
      </w:r>
      <w:r>
        <w:rPr>
          <w:rFonts w:ascii="Times New Roman" w:hAnsi="Times New Roman"/>
          <w:rtl w:val="0"/>
          <w:lang w:val="en-US"/>
        </w:rPr>
        <w:t xml:space="preserve">: </w:t>
        <w:tab/>
        <w:tab/>
        <w:t xml:space="preserve">Final Report for Proposal 24-05: Clarify </w:t>
      </w:r>
      <w:r>
        <w:rPr>
          <w:rFonts w:ascii="Times New Roman" w:hAnsi="Times New Roman"/>
          <w:rtl w:val="0"/>
          <w:lang w:val="en-US"/>
        </w:rPr>
        <w:t>A</w:t>
      </w:r>
      <w:r>
        <w:rPr>
          <w:rFonts w:ascii="Times New Roman" w:hAnsi="Times New Roman"/>
          <w:rtl w:val="0"/>
          <w:lang w:val="en-US"/>
        </w:rPr>
        <w:t xml:space="preserve">dmission to the Health Services </w:t>
        <w:tab/>
        <w:tab/>
        <w:t xml:space="preserve">      </w:t>
        <w:tab/>
        <w:tab/>
        <w:t xml:space="preserve">Administration program </w:t>
      </w:r>
    </w:p>
    <w:p>
      <w:pPr>
        <w:pStyle w:val="Default"/>
        <w:pBdr>
          <w:top w:val="nil"/>
          <w:left w:val="nil"/>
          <w:bottom w:val="single" w:color="000000" w:sz="12" w:space="0" w:shadow="0" w:frame="0"/>
          <w:right w:val="nil"/>
        </w:pBdr>
        <w:spacing w:before="0" w:line="240" w:lineRule="auto"/>
        <w:rPr>
          <w:rFonts w:ascii="Times New Roman" w:cs="Times New Roman" w:hAnsi="Times New Roman" w:eastAsia="Times New Roman"/>
          <w:b w:val="1"/>
          <w:bCs w:val="1"/>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PROPOSAL OVERVIEW:</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rtl w:val="0"/>
          <w:lang w:val="en-US"/>
        </w:rPr>
        <w:t>The Department of Health Sciences suggests revisions and clarifications to the Health Administration program's admission criteria, including removing work experience as a basis for admission. Additionally, the proposal aims to refine and simplify the remaining admission criteria.</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b w:val="1"/>
          <w:bCs w:val="1"/>
        </w:rPr>
      </w:pPr>
      <w:r>
        <w:rPr>
          <w:rFonts w:ascii="Times New Roman" w:hAnsi="Times New Roman"/>
          <w:b w:val="1"/>
          <w:bCs w:val="1"/>
          <w:rtl w:val="0"/>
          <w:lang w:val="en-US"/>
        </w:rPr>
        <w:t>RATIONALE:</w:t>
      </w:r>
    </w:p>
    <w:p>
      <w:pPr>
        <w:pStyle w:val="Default"/>
        <w:spacing w:before="0" w:line="240" w:lineRule="auto"/>
        <w:rPr>
          <w:rFonts w:ascii="Times New Roman" w:cs="Times New Roman" w:hAnsi="Times New Roman" w:eastAsia="Times New Roman"/>
          <w:b w:val="1"/>
          <w:bCs w:val="1"/>
        </w:rPr>
      </w:pPr>
    </w:p>
    <w:p>
      <w:pPr>
        <w:pStyle w:val="Default"/>
        <w:spacing w:before="0" w:line="240" w:lineRule="auto"/>
        <w:rPr>
          <w:rFonts w:ascii="Calibri" w:cs="Calibri" w:hAnsi="Calibri" w:eastAsia="Calibri"/>
          <w:shd w:val="nil" w:color="auto" w:fill="auto"/>
        </w:rPr>
      </w:pPr>
      <w:r>
        <w:rPr>
          <w:rFonts w:ascii="Times New Roman" w:hAnsi="Times New Roman"/>
          <w:rtl w:val="0"/>
          <w:lang w:val="en-US"/>
        </w:rPr>
        <w:t>Currently, the Health Service Administration program has</w:t>
      </w:r>
      <w:r>
        <w:rPr>
          <w:rFonts w:ascii="Times New Roman" w:hAnsi="Times New Roman"/>
          <w:spacing w:val="0"/>
          <w:rtl w:val="0"/>
          <w:lang w:val="en-US"/>
        </w:rPr>
        <w:t xml:space="preserve"> </w:t>
      </w:r>
      <w:r>
        <w:rPr>
          <w:rFonts w:ascii="Times New Roman" w:hAnsi="Times New Roman"/>
          <w:rtl w:val="0"/>
          <w:lang w:val="en-US"/>
        </w:rPr>
        <w:t>three</w:t>
      </w:r>
      <w:r>
        <w:rPr>
          <w:rFonts w:ascii="Times New Roman" w:hAnsi="Times New Roman"/>
          <w:spacing w:val="0"/>
          <w:rtl w:val="0"/>
          <w:lang w:val="en-US"/>
        </w:rPr>
        <w:t xml:space="preserve"> </w:t>
      </w:r>
      <w:r>
        <w:rPr>
          <w:rFonts w:ascii="Times New Roman" w:hAnsi="Times New Roman"/>
          <w:rtl w:val="0"/>
          <w:lang w:val="en-US"/>
        </w:rPr>
        <w:t>criteria</w:t>
      </w:r>
      <w:r>
        <w:rPr>
          <w:rFonts w:ascii="Times New Roman" w:hAnsi="Times New Roman"/>
          <w:spacing w:val="0"/>
          <w:rtl w:val="0"/>
          <w:lang w:val="en-US"/>
        </w:rPr>
        <w:t xml:space="preserve"> </w:t>
      </w:r>
      <w:r>
        <w:rPr>
          <w:rFonts w:ascii="Times New Roman" w:hAnsi="Times New Roman"/>
          <w:rtl w:val="0"/>
          <w:lang w:val="en-US"/>
        </w:rPr>
        <w:t>for access to</w:t>
      </w:r>
      <w:r>
        <w:rPr>
          <w:rFonts w:ascii="Times New Roman" w:hAnsi="Times New Roman"/>
          <w:spacing w:val="0"/>
          <w:rtl w:val="0"/>
          <w:lang w:val="en-US"/>
        </w:rPr>
        <w:t xml:space="preserve"> </w:t>
      </w:r>
      <w:r>
        <w:rPr>
          <w:rFonts w:ascii="Times New Roman" w:hAnsi="Times New Roman"/>
          <w:rtl w:val="0"/>
          <w:lang w:val="en-US"/>
        </w:rPr>
        <w:t>admission.</w:t>
      </w:r>
      <w:r>
        <w:rPr>
          <w:rFonts w:ascii="Times New Roman" w:hAnsi="Times New Roman"/>
          <w:spacing w:val="0"/>
          <w:rtl w:val="0"/>
          <w:lang w:val="en-US"/>
        </w:rPr>
        <w:t xml:space="preserve"> </w:t>
      </w:r>
      <w:r>
        <w:rPr>
          <w:rFonts w:ascii="Times New Roman" w:hAnsi="Times New Roman"/>
          <w:rtl w:val="0"/>
          <w:lang w:val="en-US"/>
        </w:rPr>
        <w:t>The</w:t>
      </w:r>
      <w:r>
        <w:rPr>
          <w:rFonts w:ascii="Times New Roman" w:hAnsi="Times New Roman"/>
          <w:spacing w:val="0"/>
          <w:rtl w:val="0"/>
          <w:lang w:val="en-US"/>
        </w:rPr>
        <w:t xml:space="preserve"> </w:t>
      </w:r>
      <w:r>
        <w:rPr>
          <w:rFonts w:ascii="Times New Roman" w:hAnsi="Times New Roman"/>
          <w:rtl w:val="0"/>
          <w:lang w:val="en-US"/>
        </w:rPr>
        <w:t>Health</w:t>
      </w:r>
      <w:r>
        <w:rPr>
          <w:rFonts w:ascii="Times New Roman" w:hAnsi="Times New Roman"/>
          <w:spacing w:val="0"/>
          <w:rtl w:val="0"/>
          <w:lang w:val="en-US"/>
        </w:rPr>
        <w:t xml:space="preserve"> </w:t>
      </w:r>
      <w:r>
        <w:rPr>
          <w:rFonts w:ascii="Times New Roman" w:hAnsi="Times New Roman"/>
          <w:rtl w:val="0"/>
          <w:lang w:val="en-US"/>
        </w:rPr>
        <w:t>Sciences</w:t>
      </w:r>
      <w:r>
        <w:rPr>
          <w:rFonts w:ascii="Times New Roman" w:hAnsi="Times New Roman"/>
          <w:spacing w:val="0"/>
          <w:rtl w:val="0"/>
          <w:lang w:val="en-US"/>
        </w:rPr>
        <w:t xml:space="preserve"> </w:t>
      </w:r>
      <w:r>
        <w:rPr>
          <w:rFonts w:ascii="Times New Roman" w:hAnsi="Times New Roman"/>
          <w:rtl w:val="0"/>
          <w:lang w:val="en-US"/>
        </w:rPr>
        <w:t>Department</w:t>
      </w:r>
      <w:r>
        <w:rPr>
          <w:rFonts w:ascii="Times New Roman" w:hAnsi="Times New Roman"/>
          <w:spacing w:val="0"/>
          <w:rtl w:val="0"/>
          <w:lang w:val="en-US"/>
        </w:rPr>
        <w:t xml:space="preserve"> </w:t>
      </w:r>
      <w:r>
        <w:rPr>
          <w:rFonts w:ascii="Times New Roman" w:hAnsi="Times New Roman"/>
          <w:rtl w:val="0"/>
          <w:lang w:val="en-US"/>
        </w:rPr>
        <w:t>proposes</w:t>
      </w:r>
      <w:r>
        <w:rPr>
          <w:rFonts w:ascii="Times New Roman" w:hAnsi="Times New Roman"/>
          <w:spacing w:val="0"/>
          <w:rtl w:val="0"/>
          <w:lang w:val="en-US"/>
        </w:rPr>
        <w:t xml:space="preserve"> </w:t>
      </w:r>
      <w:r>
        <w:rPr>
          <w:rFonts w:ascii="Times New Roman" w:hAnsi="Times New Roman"/>
          <w:rtl w:val="0"/>
          <w:lang w:val="en-US"/>
        </w:rPr>
        <w:t>to</w:t>
      </w:r>
      <w:r>
        <w:rPr>
          <w:rFonts w:ascii="Times New Roman" w:hAnsi="Times New Roman"/>
          <w:spacing w:val="0"/>
          <w:rtl w:val="0"/>
          <w:lang w:val="en-US"/>
        </w:rPr>
        <w:t xml:space="preserve"> </w:t>
      </w:r>
      <w:r>
        <w:rPr>
          <w:rFonts w:ascii="Times New Roman" w:hAnsi="Times New Roman"/>
          <w:rtl w:val="0"/>
          <w:lang w:val="en-US"/>
        </w:rPr>
        <w:t>eliminate</w:t>
      </w:r>
      <w:r>
        <w:rPr>
          <w:rFonts w:ascii="Times New Roman" w:hAnsi="Times New Roman"/>
          <w:spacing w:val="0"/>
          <w:rtl w:val="0"/>
          <w:lang w:val="en-US"/>
        </w:rPr>
        <w:t xml:space="preserve"> </w:t>
      </w:r>
      <w:r>
        <w:rPr>
          <w:rFonts w:ascii="Times New Roman" w:hAnsi="Times New Roman"/>
          <w:rtl w:val="0"/>
          <w:lang w:val="en-US"/>
        </w:rPr>
        <w:t>Criterion #3. Criterion #3, as stated, bases the admission to</w:t>
      </w:r>
      <w:r>
        <w:rPr>
          <w:rFonts w:ascii="Times New Roman" w:hAnsi="Times New Roman"/>
          <w:spacing w:val="0"/>
          <w:rtl w:val="0"/>
          <w:lang w:val="en-US"/>
        </w:rPr>
        <w:t xml:space="preserve"> </w:t>
      </w:r>
      <w:r>
        <w:rPr>
          <w:rFonts w:ascii="Times New Roman" w:hAnsi="Times New Roman"/>
          <w:rtl w:val="0"/>
          <w:lang w:val="en-US"/>
        </w:rPr>
        <w:t>the Health Services Administration program on two years</w:t>
      </w:r>
      <w:r>
        <w:rPr>
          <w:rFonts w:ascii="Times New Roman" w:hAnsi="Times New Roman"/>
          <w:spacing w:val="0"/>
          <w:rtl w:val="0"/>
          <w:lang w:val="en-US"/>
        </w:rPr>
        <w:t xml:space="preserve"> </w:t>
      </w:r>
      <w:r>
        <w:rPr>
          <w:rFonts w:ascii="Times New Roman" w:hAnsi="Times New Roman"/>
          <w:rtl w:val="0"/>
          <w:lang w:val="en-US"/>
        </w:rPr>
        <w:t>of work experience in the healthcare sector. The wording</w:t>
      </w:r>
      <w:r>
        <w:rPr>
          <w:rFonts w:ascii="Times New Roman" w:hAnsi="Times New Roman"/>
          <w:spacing w:val="0"/>
          <w:rtl w:val="0"/>
          <w:lang w:val="en-US"/>
        </w:rPr>
        <w:t xml:space="preserve"> </w:t>
      </w:r>
      <w:r>
        <w:rPr>
          <w:rFonts w:ascii="Times New Roman" w:hAnsi="Times New Roman"/>
          <w:rtl w:val="0"/>
          <w:lang w:val="en-US"/>
        </w:rPr>
        <w:t>of</w:t>
      </w:r>
      <w:r>
        <w:rPr>
          <w:rFonts w:ascii="Times New Roman" w:hAnsi="Times New Roman"/>
          <w:spacing w:val="0"/>
          <w:rtl w:val="0"/>
          <w:lang w:val="en-US"/>
        </w:rPr>
        <w:t xml:space="preserve"> </w:t>
      </w:r>
      <w:r>
        <w:rPr>
          <w:rFonts w:ascii="Times New Roman" w:hAnsi="Times New Roman"/>
          <w:rtl w:val="0"/>
          <w:lang w:val="en-US"/>
        </w:rPr>
        <w:t>Criterion</w:t>
      </w:r>
      <w:r>
        <w:rPr>
          <w:rFonts w:ascii="Times New Roman" w:hAnsi="Times New Roman"/>
          <w:spacing w:val="0"/>
          <w:rtl w:val="0"/>
          <w:lang w:val="en-US"/>
        </w:rPr>
        <w:t xml:space="preserve"> </w:t>
      </w:r>
      <w:r>
        <w:rPr>
          <w:rFonts w:ascii="Times New Roman" w:hAnsi="Times New Roman"/>
          <w:rtl w:val="0"/>
          <w:lang w:val="en-US"/>
        </w:rPr>
        <w:t>#3</w:t>
      </w:r>
      <w:r>
        <w:rPr>
          <w:rFonts w:ascii="Times New Roman" w:hAnsi="Times New Roman"/>
          <w:spacing w:val="0"/>
          <w:rtl w:val="0"/>
          <w:lang w:val="en-US"/>
        </w:rPr>
        <w:t xml:space="preserve"> </w:t>
      </w:r>
      <w:r>
        <w:rPr>
          <w:rFonts w:ascii="Times New Roman" w:hAnsi="Times New Roman"/>
          <w:rtl w:val="0"/>
          <w:lang w:val="en-US"/>
        </w:rPr>
        <w:t>is</w:t>
      </w:r>
      <w:r>
        <w:rPr>
          <w:rFonts w:ascii="Times New Roman" w:hAnsi="Times New Roman"/>
          <w:spacing w:val="0"/>
          <w:rtl w:val="0"/>
          <w:lang w:val="en-US"/>
        </w:rPr>
        <w:t xml:space="preserve"> </w:t>
      </w:r>
      <w:r>
        <w:rPr>
          <w:rFonts w:ascii="Times New Roman" w:hAnsi="Times New Roman"/>
          <w:rtl w:val="0"/>
          <w:lang w:val="en-US"/>
        </w:rPr>
        <w:t>vague</w:t>
      </w:r>
      <w:r>
        <w:rPr>
          <w:rFonts w:ascii="Times New Roman" w:hAnsi="Times New Roman"/>
          <w:spacing w:val="0"/>
          <w:rtl w:val="0"/>
          <w:lang w:val="en-US"/>
        </w:rPr>
        <w:t xml:space="preserve"> </w:t>
      </w:r>
      <w:r>
        <w:rPr>
          <w:rFonts w:ascii="Times New Roman" w:hAnsi="Times New Roman"/>
          <w:rtl w:val="0"/>
          <w:lang w:val="en-US"/>
        </w:rPr>
        <w:t>and</w:t>
      </w:r>
      <w:r>
        <w:rPr>
          <w:rFonts w:ascii="Times New Roman" w:hAnsi="Times New Roman"/>
          <w:spacing w:val="0"/>
          <w:rtl w:val="0"/>
          <w:lang w:val="en-US"/>
        </w:rPr>
        <w:t xml:space="preserve"> </w:t>
      </w:r>
      <w:r>
        <w:rPr>
          <w:rFonts w:ascii="Times New Roman" w:hAnsi="Times New Roman"/>
          <w:rtl w:val="0"/>
          <w:lang w:val="en-US"/>
        </w:rPr>
        <w:t>confusing</w:t>
      </w:r>
      <w:r>
        <w:rPr>
          <w:rFonts w:ascii="Times New Roman" w:hAnsi="Times New Roman"/>
          <w:spacing w:val="0"/>
          <w:rtl w:val="0"/>
          <w:lang w:val="en-US"/>
        </w:rPr>
        <w:t xml:space="preserve"> </w:t>
      </w:r>
      <w:r>
        <w:rPr>
          <w:rFonts w:ascii="Times New Roman" w:hAnsi="Times New Roman"/>
          <w:rtl w:val="0"/>
          <w:lang w:val="en-US"/>
        </w:rPr>
        <w:t>for</w:t>
      </w:r>
      <w:r>
        <w:rPr>
          <w:rFonts w:ascii="Times New Roman" w:hAnsi="Times New Roman"/>
          <w:spacing w:val="0"/>
          <w:rtl w:val="0"/>
          <w:lang w:val="en-US"/>
        </w:rPr>
        <w:t xml:space="preserve"> </w:t>
      </w:r>
      <w:r>
        <w:rPr>
          <w:rFonts w:ascii="Times New Roman" w:hAnsi="Times New Roman"/>
          <w:rtl w:val="0"/>
          <w:lang w:val="en-US"/>
        </w:rPr>
        <w:t>many</w:t>
      </w:r>
      <w:r>
        <w:rPr>
          <w:rFonts w:ascii="Times New Roman" w:hAnsi="Times New Roman"/>
          <w:spacing w:val="0"/>
          <w:rtl w:val="0"/>
          <w:lang w:val="en-US"/>
        </w:rPr>
        <w:t xml:space="preserve"> </w:t>
      </w:r>
      <w:r>
        <w:rPr>
          <w:rFonts w:ascii="Times New Roman" w:hAnsi="Times New Roman"/>
          <w:rtl w:val="0"/>
          <w:lang w:val="en-US"/>
        </w:rPr>
        <w:t>prospective students because it does not clearly state the type of two-year work experience that would suffice to be admitted</w:t>
      </w:r>
      <w:r>
        <w:rPr>
          <w:rFonts w:ascii="Times New Roman" w:hAnsi="Times New Roman"/>
          <w:spacing w:val="0"/>
          <w:rtl w:val="0"/>
          <w:lang w:val="en-US"/>
        </w:rPr>
        <w:t xml:space="preserve"> </w:t>
      </w:r>
      <w:r>
        <w:rPr>
          <w:rFonts w:ascii="Times New Roman" w:hAnsi="Times New Roman"/>
          <w:rtl w:val="0"/>
          <w:lang w:val="en-US"/>
        </w:rPr>
        <w:t>into</w:t>
      </w:r>
      <w:r>
        <w:rPr>
          <w:rFonts w:ascii="Times New Roman" w:hAnsi="Times New Roman"/>
          <w:spacing w:val="0"/>
          <w:rtl w:val="0"/>
          <w:lang w:val="en-US"/>
        </w:rPr>
        <w:t xml:space="preserve"> </w:t>
      </w:r>
      <w:r>
        <w:rPr>
          <w:rFonts w:ascii="Times New Roman" w:hAnsi="Times New Roman"/>
          <w:rtl w:val="0"/>
          <w:lang w:val="en-US"/>
        </w:rPr>
        <w:t>the</w:t>
      </w:r>
      <w:r>
        <w:rPr>
          <w:rFonts w:ascii="Times New Roman" w:hAnsi="Times New Roman"/>
          <w:spacing w:val="0"/>
          <w:rtl w:val="0"/>
          <w:lang w:val="en-US"/>
        </w:rPr>
        <w:t xml:space="preserve"> </w:t>
      </w:r>
      <w:r>
        <w:rPr>
          <w:rFonts w:ascii="Times New Roman" w:hAnsi="Times New Roman"/>
          <w:rtl w:val="0"/>
          <w:lang w:val="en-US"/>
        </w:rPr>
        <w:t>HSA</w:t>
      </w:r>
      <w:r>
        <w:rPr>
          <w:rFonts w:ascii="Times New Roman" w:hAnsi="Times New Roman"/>
          <w:spacing w:val="0"/>
          <w:rtl w:val="0"/>
          <w:lang w:val="en-US"/>
        </w:rPr>
        <w:t xml:space="preserve"> </w:t>
      </w:r>
      <w:r>
        <w:rPr>
          <w:rFonts w:ascii="Times New Roman" w:hAnsi="Times New Roman"/>
          <w:rtl w:val="0"/>
          <w:lang w:val="en-US"/>
        </w:rPr>
        <w:t>program.</w:t>
      </w:r>
      <w:r>
        <w:rPr>
          <w:rFonts w:ascii="Times New Roman" w:hAnsi="Times New Roman"/>
          <w:spacing w:val="0"/>
          <w:rtl w:val="0"/>
          <w:lang w:val="en-US"/>
        </w:rPr>
        <w:t xml:space="preserve"> </w:t>
      </w:r>
      <w:r>
        <w:rPr>
          <w:rFonts w:ascii="Times New Roman" w:hAnsi="Times New Roman"/>
          <w:rtl w:val="0"/>
          <w:lang w:val="en-US"/>
        </w:rPr>
        <w:t>Additionally,</w:t>
      </w:r>
      <w:r>
        <w:rPr>
          <w:rFonts w:ascii="Times New Roman" w:hAnsi="Times New Roman"/>
          <w:spacing w:val="0"/>
          <w:rtl w:val="0"/>
          <w:lang w:val="en-US"/>
        </w:rPr>
        <w:t xml:space="preserve"> </w:t>
      </w:r>
      <w:r>
        <w:rPr>
          <w:rFonts w:ascii="Times New Roman" w:hAnsi="Times New Roman"/>
          <w:rtl w:val="0"/>
          <w:lang w:val="en-US"/>
        </w:rPr>
        <w:t>the Health Sciences Department suggests minor edits to Criteria #1 and #2 in this curriculum modification</w:t>
      </w:r>
      <w:r>
        <w:rPr>
          <w:rtl w:val="0"/>
          <w:lang w:val="en-US"/>
        </w:rPr>
        <w:t>.</w:t>
      </w:r>
    </w:p>
    <w:p>
      <w:pPr>
        <w:pStyle w:val="Default"/>
        <w:widowControl w:val="0"/>
        <w:spacing w:before="0" w:line="240" w:lineRule="auto"/>
        <w:ind w:left="109" w:right="94" w:firstLine="0"/>
        <w:jc w:val="both"/>
        <w:rPr>
          <w:rFonts w:ascii="Calibri" w:cs="Calibri" w:hAnsi="Calibri" w:eastAsia="Calibri"/>
          <w:sz w:val="22"/>
          <w:szCs w:val="22"/>
          <w:shd w:val="nil" w:color="auto" w:fill="auto"/>
          <w14:textOutline w14:w="12700" w14:cap="flat">
            <w14:noFill/>
            <w14:miter w14:lim="400000"/>
          </w14:textOutline>
        </w:rPr>
      </w:pPr>
    </w:p>
    <w:p>
      <w:pPr>
        <w:pStyle w:val="Default"/>
        <w:widowControl w:val="0"/>
        <w:spacing w:before="0" w:line="240" w:lineRule="auto"/>
        <w:ind w:left="109" w:right="94" w:firstLine="0"/>
        <w:jc w:val="both"/>
        <w:rPr>
          <w:rFonts w:ascii="Times New Roman" w:cs="Times New Roman" w:hAnsi="Times New Roman" w:eastAsia="Times New Roman"/>
          <w:sz w:val="22"/>
          <w:szCs w:val="22"/>
          <w14:textOutline w14:w="12700" w14:cap="flat">
            <w14:noFill/>
            <w14:miter w14:lim="400000"/>
          </w14:textOutline>
        </w:rPr>
      </w:pPr>
    </w:p>
    <w:p>
      <w:pPr>
        <w:pStyle w:val="Default"/>
        <w:spacing w:before="0" w:line="240" w:lineRule="auto"/>
        <w:rPr>
          <w:rFonts w:ascii="Times New Roman" w:cs="Times New Roman" w:hAnsi="Times New Roman" w:eastAsia="Times New Roman"/>
          <w:sz w:val="22"/>
          <w:szCs w:val="22"/>
        </w:rPr>
      </w:pPr>
    </w:p>
    <w:p>
      <w:pPr>
        <w:pStyle w:val="Default"/>
        <w:spacing w:before="0" w:line="240" w:lineRule="auto"/>
        <w:rPr>
          <w:rFonts w:ascii="Times New Roman" w:cs="Times New Roman" w:hAnsi="Times New Roman" w:eastAsia="Times New Roman"/>
          <w:b w:val="1"/>
          <w:bCs w:val="1"/>
          <w:lang w:val="de-DE"/>
        </w:rPr>
      </w:pPr>
      <w:r>
        <w:rPr>
          <w:rFonts w:ascii="Times New Roman" w:hAnsi="Times New Roman"/>
          <w:b w:val="1"/>
          <w:bCs w:val="1"/>
          <w:rtl w:val="0"/>
          <w:lang w:val="de-DE"/>
        </w:rPr>
        <w:t>STRENGTHS:</w:t>
      </w:r>
    </w:p>
    <w:p>
      <w:pPr>
        <w:pStyle w:val="Default"/>
        <w:spacing w:before="0" w:line="240" w:lineRule="auto"/>
        <w:rPr>
          <w:lang w:val="de-DE"/>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Addresses the challenge of verifying two years of work experience in patient-facing roles within healthcare settings, which was previously a requirement for program admission.</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Provides an alternative pathway for students lacking clinical education through the BS in Healthcare Policy and Management program, which also accommodates applicants with work experience.</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Makes minor adjustments to the remaining admission criteria, streamlining the application and admission process.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Ensures compatibility with existing articulation agreements between the Health Services Administration (HSA) program and various associate degree programs.</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lang w:val="de-DE"/>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WEAKNESS:</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None noted.</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ISSUES AND CONCERNS DISCUSSED:</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The review conducted by the subcommittee and the subsequent meeting with the Provost's office suggested a few adjustments in wording. The provost agreed that removing the work experience requirement for admission into the HSA program would benefit its success. The proposers diligently addressed each feedback, implementing the suggested changes and providing necessary clarifications.</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SUBCOMMITTEE ACTIVITIES:</w:t>
      </w:r>
    </w:p>
    <w:p>
      <w:pPr>
        <w:pStyle w:val="Default"/>
        <w:spacing w:before="0" w:line="240" w:lineRule="auto"/>
      </w:pPr>
      <w:r>
        <w:rPr>
          <w:rFonts w:ascii="Times New Roman" w:hAnsi="Times New Roman"/>
          <w:rtl w:val="0"/>
          <w:lang w:val="en-US"/>
        </w:rPr>
        <w:t>The proposal for the Clarify admission to the Health Services Administration program was assigned to the subcommittee on January 29, 2024. The subcommittee convened on February 13, 2024, to finalize their feedback and recommendations, which were subsequently sent to the proposer on February 21, 2024. The subcommittee met with Provost Pamela Brown, Associate Provost Reginald Blake, Kim Cardascia (Provost</w:t>
      </w:r>
      <w:r>
        <w:rPr>
          <w:rFonts w:ascii="Arial Unicode MS" w:hAnsi="Arial Unicode MS" w:hint="default"/>
          <w:rtl w:val="0"/>
          <w:lang w:val="en-US"/>
        </w:rPr>
        <w:t>’</w:t>
      </w:r>
      <w:r>
        <w:rPr>
          <w:rFonts w:ascii="Times New Roman" w:hAnsi="Times New Roman"/>
          <w:rtl w:val="0"/>
          <w:lang w:val="en-US"/>
        </w:rPr>
        <w:t>s Office), Dean Maureen Archer-Festa, and Prof. Katherine Gregory to discuss the proposal on March 14, 2024. The final revised version was received on March 14, 2024.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