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B9" w:rsidRDefault="009026E5">
      <w:pPr>
        <w:pStyle w:val="Body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1</w:t>
      </w:r>
      <w:r>
        <w:rPr>
          <w:sz w:val="22"/>
          <w:szCs w:val="22"/>
        </w:rPr>
        <w:t>, 2019</w:t>
      </w:r>
    </w:p>
    <w:p w:rsidR="00FD3BB9" w:rsidRDefault="00FD3BB9">
      <w:pPr>
        <w:pStyle w:val="Body"/>
        <w:rPr>
          <w:sz w:val="22"/>
          <w:szCs w:val="22"/>
        </w:rPr>
      </w:pPr>
    </w:p>
    <w:p w:rsidR="00FD3BB9" w:rsidRDefault="009026E5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TO: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Phillip Anzalone, Chair</w:t>
      </w:r>
    </w:p>
    <w:p w:rsidR="00FD3BB9" w:rsidRDefault="009026E5">
      <w:pPr>
        <w:pStyle w:val="Body"/>
        <w:ind w:left="720" w:firstLine="720"/>
        <w:rPr>
          <w:sz w:val="22"/>
          <w:szCs w:val="22"/>
        </w:rPr>
      </w:pPr>
      <w:r>
        <w:rPr>
          <w:sz w:val="22"/>
          <w:szCs w:val="22"/>
        </w:rPr>
        <w:t>College Council Curriculum Committee</w:t>
      </w:r>
    </w:p>
    <w:p w:rsidR="00FD3BB9" w:rsidRDefault="00FD3BB9">
      <w:pPr>
        <w:pStyle w:val="Body"/>
        <w:rPr>
          <w:sz w:val="22"/>
          <w:szCs w:val="22"/>
        </w:rPr>
      </w:pPr>
    </w:p>
    <w:p w:rsidR="00FD3BB9" w:rsidRDefault="009026E5">
      <w:pPr>
        <w:pStyle w:val="Body"/>
        <w:rPr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Curriculum Subcommittee</w:t>
      </w:r>
    </w:p>
    <w:p w:rsidR="00FD3BB9" w:rsidRDefault="009026E5">
      <w:pPr>
        <w:pStyle w:val="Body"/>
        <w:ind w:left="720" w:firstLine="720"/>
        <w:rPr>
          <w:sz w:val="22"/>
          <w:szCs w:val="22"/>
        </w:rPr>
      </w:pPr>
      <w:r>
        <w:rPr>
          <w:sz w:val="22"/>
          <w:szCs w:val="22"/>
        </w:rPr>
        <w:t>Phillip Anzalone</w:t>
      </w:r>
      <w:r>
        <w:rPr>
          <w:sz w:val="22"/>
          <w:szCs w:val="22"/>
        </w:rPr>
        <w:t xml:space="preserve"> (Chair), </w:t>
      </w:r>
      <w:r>
        <w:rPr>
          <w:sz w:val="22"/>
          <w:szCs w:val="22"/>
        </w:rPr>
        <w:t xml:space="preserve">Maura </w:t>
      </w:r>
      <w:proofErr w:type="spellStart"/>
      <w:r>
        <w:rPr>
          <w:sz w:val="22"/>
          <w:szCs w:val="22"/>
        </w:rPr>
        <w:t>Smale</w:t>
      </w:r>
      <w:proofErr w:type="spellEnd"/>
      <w:r>
        <w:rPr>
          <w:sz w:val="22"/>
          <w:szCs w:val="22"/>
        </w:rPr>
        <w:t xml:space="preserve">, Susan </w:t>
      </w:r>
      <w:proofErr w:type="spellStart"/>
      <w:r>
        <w:rPr>
          <w:sz w:val="22"/>
          <w:szCs w:val="22"/>
        </w:rPr>
        <w:t>Davide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Ryoya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Terao</w:t>
      </w:r>
      <w:proofErr w:type="spellEnd"/>
    </w:p>
    <w:p w:rsidR="00FD3BB9" w:rsidRDefault="00FD3BB9">
      <w:pPr>
        <w:pStyle w:val="Body"/>
        <w:rPr>
          <w:sz w:val="22"/>
          <w:szCs w:val="22"/>
        </w:rPr>
      </w:pPr>
    </w:p>
    <w:p w:rsidR="00FD3BB9" w:rsidRDefault="009026E5">
      <w:pPr>
        <w:pStyle w:val="Body"/>
        <w:rPr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Final Report for </w:t>
      </w:r>
      <w:r>
        <w:rPr>
          <w:sz w:val="22"/>
          <w:szCs w:val="22"/>
        </w:rPr>
        <w:t xml:space="preserve">New Program BS in Health Communication, </w:t>
      </w:r>
      <w:r>
        <w:rPr>
          <w:sz w:val="22"/>
          <w:szCs w:val="22"/>
        </w:rPr>
        <w:t>Proposal 18-09</w:t>
      </w:r>
    </w:p>
    <w:p w:rsidR="00FD3BB9" w:rsidRDefault="00FD3BB9">
      <w:pPr>
        <w:pStyle w:val="Body"/>
        <w:rPr>
          <w:sz w:val="22"/>
          <w:szCs w:val="22"/>
        </w:rPr>
      </w:pPr>
    </w:p>
    <w:p w:rsidR="00FD3BB9" w:rsidRDefault="00FD3BB9">
      <w:pPr>
        <w:pStyle w:val="Body"/>
        <w:pBdr>
          <w:bottom w:val="single" w:sz="12" w:space="0" w:color="000000"/>
        </w:pBdr>
        <w:rPr>
          <w:sz w:val="22"/>
          <w:szCs w:val="22"/>
        </w:rPr>
      </w:pPr>
    </w:p>
    <w:p w:rsidR="00FD3BB9" w:rsidRDefault="00FD3BB9">
      <w:pPr>
        <w:pStyle w:val="Body"/>
        <w:rPr>
          <w:sz w:val="22"/>
          <w:szCs w:val="22"/>
        </w:rPr>
      </w:pPr>
    </w:p>
    <w:p w:rsidR="00FD3BB9" w:rsidRDefault="009026E5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Proposal Overview</w:t>
      </w:r>
    </w:p>
    <w:p w:rsidR="00FD3BB9" w:rsidRDefault="00FD3BB9">
      <w:pPr>
        <w:pStyle w:val="Body"/>
        <w:rPr>
          <w:sz w:val="22"/>
          <w:szCs w:val="22"/>
        </w:rPr>
      </w:pPr>
    </w:p>
    <w:p w:rsidR="00FD3BB9" w:rsidRDefault="009026E5">
      <w:pPr>
        <w:pStyle w:val="Body"/>
        <w:rPr>
          <w:sz w:val="22"/>
          <w:szCs w:val="22"/>
        </w:rPr>
      </w:pPr>
      <w:r>
        <w:rPr>
          <w:sz w:val="22"/>
          <w:szCs w:val="22"/>
        </w:rPr>
        <w:t>The Department of Humanities of the School of Arts and Sciences at New York City College of Technology proposes a Bachelor of Science (BS) degree program in Health Communication. The proposed program provides the fundam</w:t>
      </w:r>
      <w:r>
        <w:rPr>
          <w:sz w:val="22"/>
          <w:szCs w:val="22"/>
        </w:rPr>
        <w:t>ental knowledge, values, and skills for communication professionals in health care, wellness, educational, media and other occupations.  The proposal includes 14 new courses required for the degree.</w:t>
      </w:r>
    </w:p>
    <w:p w:rsidR="00FD3BB9" w:rsidRDefault="00FD3BB9">
      <w:pPr>
        <w:pStyle w:val="Body"/>
        <w:rPr>
          <w:sz w:val="22"/>
          <w:szCs w:val="22"/>
        </w:rPr>
      </w:pPr>
    </w:p>
    <w:p w:rsidR="00FD3BB9" w:rsidRDefault="009026E5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Rationale</w:t>
      </w:r>
    </w:p>
    <w:p w:rsidR="00FD3BB9" w:rsidRDefault="00FD3BB9">
      <w:pPr>
        <w:pStyle w:val="Body"/>
        <w:rPr>
          <w:sz w:val="22"/>
          <w:szCs w:val="22"/>
        </w:rPr>
      </w:pPr>
    </w:p>
    <w:p w:rsidR="00FD3BB9" w:rsidRDefault="009026E5">
      <w:pPr>
        <w:pStyle w:val="Body"/>
        <w:rPr>
          <w:sz w:val="22"/>
          <w:szCs w:val="22"/>
        </w:rPr>
      </w:pPr>
      <w:r>
        <w:rPr>
          <w:sz w:val="22"/>
          <w:szCs w:val="22"/>
        </w:rPr>
        <w:t>Communication is a nationally recognized fiel</w:t>
      </w:r>
      <w:r>
        <w:rPr>
          <w:sz w:val="22"/>
          <w:szCs w:val="22"/>
        </w:rPr>
        <w:t>d of study and ranks among the top majors in popularity across higher education. Communication skills are highly valued by employers. NYCCT is one of two CUNY senior colleges without a Communication program. In recent decades, CUNY campuses have added Comm</w:t>
      </w:r>
      <w:r>
        <w:rPr>
          <w:sz w:val="22"/>
          <w:szCs w:val="22"/>
        </w:rPr>
        <w:t>unication programs, but none offer a Health Communication concentration. Communication problems in healthcare are estimated to be a major cause of injury and death. Unclassified, undeclared, and non-degree seeking students will have new health-related bacc</w:t>
      </w:r>
      <w:r>
        <w:rPr>
          <w:sz w:val="22"/>
          <w:szCs w:val="22"/>
        </w:rPr>
        <w:t>alaureate options at NYCCT as a result of this program. In an online survey of these students, 63% were interested in a Health Communication major (N=193).</w:t>
      </w:r>
    </w:p>
    <w:p w:rsidR="00FD3BB9" w:rsidRDefault="00FD3BB9">
      <w:pPr>
        <w:pStyle w:val="Body"/>
        <w:rPr>
          <w:sz w:val="22"/>
          <w:szCs w:val="22"/>
        </w:rPr>
      </w:pPr>
    </w:p>
    <w:p w:rsidR="00FD3BB9" w:rsidRDefault="009026E5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Strengths</w:t>
      </w:r>
    </w:p>
    <w:p w:rsidR="00FD3BB9" w:rsidRDefault="00FD3BB9">
      <w:pPr>
        <w:pStyle w:val="Body"/>
        <w:rPr>
          <w:sz w:val="22"/>
          <w:szCs w:val="22"/>
        </w:rPr>
      </w:pPr>
    </w:p>
    <w:p w:rsidR="00FD3BB9" w:rsidRDefault="009026E5">
      <w:pPr>
        <w:pStyle w:val="Body"/>
        <w:rPr>
          <w:sz w:val="22"/>
          <w:szCs w:val="22"/>
        </w:rPr>
      </w:pPr>
      <w:r>
        <w:rPr>
          <w:sz w:val="22"/>
          <w:szCs w:val="22"/>
        </w:rPr>
        <w:t>The BS in Health communications will fulfill a role in the College that is not only desi</w:t>
      </w:r>
      <w:r>
        <w:rPr>
          <w:sz w:val="22"/>
          <w:szCs w:val="22"/>
        </w:rPr>
        <w:t>red by students and provides alternative health-care related potentials to existing degrees, but is additionally in demand in the professional working environment.  The graduating students will receive a degree that provides a path towards</w:t>
      </w:r>
      <w:r>
        <w:rPr>
          <w:sz w:val="22"/>
          <w:szCs w:val="22"/>
        </w:rPr>
        <w:t xml:space="preserve"> a valuable education in an in-demand, interdisciplinary field, and many opportunities in a broad range of possible professional path</w:t>
      </w:r>
      <w:bookmarkStart w:id="0" w:name="_GoBack"/>
      <w:bookmarkEnd w:id="0"/>
      <w:r>
        <w:rPr>
          <w:sz w:val="22"/>
          <w:szCs w:val="22"/>
        </w:rPr>
        <w:t xml:space="preserve">ways.  Research indicates that a top reason for hospital failure is poor communication, and the program’s goal </w:t>
      </w:r>
      <w:r>
        <w:rPr>
          <w:sz w:val="22"/>
          <w:szCs w:val="22"/>
        </w:rPr>
        <w:t>of providing for this need is considered underrepresented in undergraduate education.  In addition, the program will provide the opportunity for cross-departmental teaching and education at the College as well as the potential for Pathways and ID courses.</w:t>
      </w:r>
    </w:p>
    <w:p w:rsidR="00FD3BB9" w:rsidRDefault="00FD3BB9">
      <w:pPr>
        <w:pStyle w:val="Body"/>
        <w:rPr>
          <w:sz w:val="22"/>
          <w:szCs w:val="22"/>
        </w:rPr>
      </w:pPr>
    </w:p>
    <w:p w:rsidR="00FD3BB9" w:rsidRDefault="009026E5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Weaknesses</w:t>
      </w:r>
    </w:p>
    <w:p w:rsidR="00FD3BB9" w:rsidRDefault="00FD3BB9">
      <w:pPr>
        <w:pStyle w:val="Body"/>
        <w:rPr>
          <w:sz w:val="22"/>
          <w:szCs w:val="22"/>
        </w:rPr>
      </w:pPr>
    </w:p>
    <w:p w:rsidR="00FD3BB9" w:rsidRDefault="009026E5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None</w:t>
      </w:r>
    </w:p>
    <w:p w:rsidR="00FD3BB9" w:rsidRDefault="00FD3BB9">
      <w:pPr>
        <w:pStyle w:val="Body"/>
        <w:rPr>
          <w:sz w:val="22"/>
          <w:szCs w:val="22"/>
        </w:rPr>
      </w:pPr>
    </w:p>
    <w:p w:rsidR="00FD3BB9" w:rsidRDefault="009026E5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Subcommittee Activities</w:t>
      </w:r>
    </w:p>
    <w:p w:rsidR="00FD3BB9" w:rsidRDefault="00FD3BB9">
      <w:pPr>
        <w:pStyle w:val="Body"/>
        <w:rPr>
          <w:sz w:val="22"/>
          <w:szCs w:val="22"/>
        </w:rPr>
      </w:pPr>
    </w:p>
    <w:p w:rsidR="00FD3BB9" w:rsidRDefault="009026E5">
      <w:pPr>
        <w:pStyle w:val="Body"/>
      </w:pPr>
      <w:r>
        <w:rPr>
          <w:sz w:val="22"/>
          <w:szCs w:val="22"/>
        </w:rPr>
        <w:t>The proposal was received in January of 2019, and the subcommittee formed on February 14, 2019.  The subcommittee communicated via email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and delivered minor changes for the Proposers on March 4, 2019</w:t>
      </w:r>
      <w:r>
        <w:rPr>
          <w:sz w:val="22"/>
          <w:szCs w:val="22"/>
        </w:rPr>
        <w:t xml:space="preserve">. After receiving the revised proposal, the subcommittee reviewed the changes and then held a meeting with </w:t>
      </w:r>
      <w:r>
        <w:rPr>
          <w:sz w:val="22"/>
          <w:szCs w:val="22"/>
        </w:rPr>
        <w:lastRenderedPageBreak/>
        <w:t>Provost August, Associate Provost Brown, Dean Vazquez-</w:t>
      </w:r>
      <w:proofErr w:type="spellStart"/>
      <w:r>
        <w:rPr>
          <w:sz w:val="22"/>
          <w:szCs w:val="22"/>
        </w:rPr>
        <w:t>Poritz</w:t>
      </w:r>
      <w:proofErr w:type="spellEnd"/>
      <w:r>
        <w:rPr>
          <w:sz w:val="22"/>
          <w:szCs w:val="22"/>
        </w:rPr>
        <w:t xml:space="preserve">, Kim </w:t>
      </w:r>
      <w:proofErr w:type="spellStart"/>
      <w:r>
        <w:rPr>
          <w:sz w:val="22"/>
          <w:szCs w:val="22"/>
        </w:rPr>
        <w:t>Cardascia</w:t>
      </w:r>
      <w:proofErr w:type="spellEnd"/>
      <w:r>
        <w:rPr>
          <w:sz w:val="22"/>
          <w:szCs w:val="22"/>
        </w:rPr>
        <w:t xml:space="preserve">, Department Chair Ann </w:t>
      </w:r>
      <w:proofErr w:type="spellStart"/>
      <w:r>
        <w:rPr>
          <w:sz w:val="22"/>
          <w:szCs w:val="22"/>
        </w:rPr>
        <w:t>Delilkan</w:t>
      </w:r>
      <w:proofErr w:type="spellEnd"/>
      <w:r>
        <w:rPr>
          <w:sz w:val="22"/>
          <w:szCs w:val="22"/>
        </w:rPr>
        <w:t xml:space="preserve"> and the proposers Denise </w:t>
      </w:r>
      <w:proofErr w:type="spellStart"/>
      <w:r>
        <w:rPr>
          <w:sz w:val="22"/>
          <w:szCs w:val="22"/>
        </w:rPr>
        <w:t>Scannell</w:t>
      </w:r>
      <w:proofErr w:type="spellEnd"/>
      <w:r>
        <w:rPr>
          <w:sz w:val="22"/>
          <w:szCs w:val="22"/>
        </w:rPr>
        <w:t>, David L</w:t>
      </w:r>
      <w:r>
        <w:rPr>
          <w:sz w:val="22"/>
          <w:szCs w:val="22"/>
        </w:rPr>
        <w:t>ee and Zheng Zhu on March 20, 2019. Final revisions to the proposal were completed after additional suggestions were made.  A public hearing was held on April 1, 2019 where members of the College community asked questions and voiced their support for the p</w:t>
      </w:r>
      <w:r>
        <w:rPr>
          <w:sz w:val="22"/>
          <w:szCs w:val="22"/>
        </w:rPr>
        <w:t>roposal.</w:t>
      </w:r>
    </w:p>
    <w:sectPr w:rsidR="00FD3BB9"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26E5">
      <w:r>
        <w:separator/>
      </w:r>
    </w:p>
  </w:endnote>
  <w:endnote w:type="continuationSeparator" w:id="0">
    <w:p w:rsidR="00000000" w:rsidRDefault="0090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B9" w:rsidRDefault="00FD3B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26E5">
      <w:r>
        <w:separator/>
      </w:r>
    </w:p>
  </w:footnote>
  <w:footnote w:type="continuationSeparator" w:id="0">
    <w:p w:rsidR="00000000" w:rsidRDefault="0090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B9" w:rsidRDefault="00FD3BB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B9"/>
    <w:rsid w:val="009026E5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5917"/>
  <w15:docId w15:val="{211D3EDF-3113-4AD3-8FA6-24C2CA61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Phillip Anzalone</cp:lastModifiedBy>
  <cp:revision>2</cp:revision>
  <dcterms:created xsi:type="dcterms:W3CDTF">2019-04-30T12:58:00Z</dcterms:created>
  <dcterms:modified xsi:type="dcterms:W3CDTF">2019-04-30T12:59:00Z</dcterms:modified>
</cp:coreProperties>
</file>