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M4"/>
        <w:spacing w:after="0"/>
        <w:jc w:val="both"/>
        <w:rPr>
          <w:sz w:val="28"/>
          <w:szCs w:val="28"/>
        </w:rPr>
      </w:pPr>
      <w:r>
        <w:rPr>
          <w:b w:val="1"/>
          <w:bCs w:val="1"/>
          <w:sz w:val="28"/>
          <w:szCs w:val="28"/>
          <w:rtl w:val="0"/>
          <w:lang w:val="en-US"/>
        </w:rPr>
        <w:t>New Course Proposal</w:t>
      </w:r>
    </w:p>
    <w:p>
      <w:pPr>
        <w:pStyle w:val="Default"/>
        <w:rPr>
          <w:sz w:val="28"/>
          <w:szCs w:val="28"/>
        </w:rPr>
      </w:pPr>
      <w:r>
        <w:rPr>
          <w:sz w:val="28"/>
          <w:szCs w:val="28"/>
          <w:rtl w:val="0"/>
          <w:lang w:val="en-US"/>
        </w:rPr>
        <w:t>Symbolic Logic</w:t>
      </w:r>
    </w:p>
    <w:p>
      <w:pPr>
        <w:pStyle w:val="Default"/>
        <w:rPr>
          <w:sz w:val="28"/>
          <w:szCs w:val="28"/>
        </w:rPr>
      </w:pPr>
      <w:r>
        <w:rPr>
          <w:sz w:val="28"/>
          <w:szCs w:val="28"/>
          <w:rtl w:val="0"/>
          <w:lang w:val="en-US"/>
        </w:rPr>
        <w:t>PHIL2202</w:t>
      </w:r>
    </w:p>
    <w:p>
      <w:pPr>
        <w:pStyle w:val="Default"/>
        <w:rPr>
          <w:sz w:val="28"/>
          <w:szCs w:val="28"/>
        </w:rPr>
      </w:pPr>
      <w:r>
        <w:rPr>
          <w:sz w:val="28"/>
          <w:szCs w:val="28"/>
          <w:rtl w:val="0"/>
          <w:lang w:val="en-US"/>
        </w:rPr>
        <w:t>Proposed by Laureen Park</w:t>
      </w:r>
    </w:p>
    <w:p>
      <w:pPr>
        <w:pStyle w:val="Default"/>
        <w:rPr>
          <w:sz w:val="28"/>
          <w:szCs w:val="28"/>
        </w:rPr>
      </w:pPr>
      <w:r>
        <w:rPr>
          <w:sz w:val="28"/>
          <w:szCs w:val="28"/>
          <w:rtl w:val="0"/>
          <w:lang w:val="en-US"/>
        </w:rPr>
        <w:t>Social Science Department</w:t>
      </w:r>
    </w:p>
    <w:p>
      <w:pPr>
        <w:pStyle w:val="Default"/>
        <w:rPr>
          <w:sz w:val="28"/>
          <w:szCs w:val="28"/>
        </w:rPr>
      </w:pPr>
      <w:r>
        <w:rPr>
          <w:sz w:val="28"/>
          <w:szCs w:val="28"/>
          <w:rtl w:val="0"/>
          <w:lang w:val="en-US"/>
        </w:rPr>
        <w:t>City Tech, CUNY</w:t>
      </w:r>
    </w:p>
    <w:p>
      <w:pPr>
        <w:pStyle w:val="CM4"/>
        <w:spacing w:after="0"/>
        <w:jc w:val="both"/>
        <w:rPr>
          <w:sz w:val="28"/>
          <w:szCs w:val="28"/>
        </w:rPr>
      </w:pPr>
    </w:p>
    <w:p>
      <w:pPr>
        <w:pStyle w:val="CM4"/>
        <w:spacing w:after="0"/>
        <w:jc w:val="both"/>
        <w:rPr>
          <w:sz w:val="28"/>
          <w:szCs w:val="28"/>
        </w:rPr>
      </w:pPr>
    </w:p>
    <w:p>
      <w:pPr>
        <w:pStyle w:val="CM4"/>
        <w:spacing w:after="0"/>
        <w:jc w:val="both"/>
        <w:rPr>
          <w:sz w:val="28"/>
          <w:szCs w:val="28"/>
        </w:rPr>
      </w:pPr>
    </w:p>
    <w:p>
      <w:pPr>
        <w:pStyle w:val="CM4"/>
        <w:spacing w:after="0"/>
        <w:jc w:val="both"/>
        <w:rPr>
          <w:sz w:val="28"/>
          <w:szCs w:val="28"/>
        </w:rPr>
      </w:pPr>
    </w:p>
    <w:p>
      <w:pPr>
        <w:pStyle w:val="CM4"/>
        <w:spacing w:after="0"/>
        <w:jc w:val="both"/>
        <w:rPr>
          <w:sz w:val="28"/>
          <w:szCs w:val="28"/>
        </w:rPr>
      </w:pPr>
      <w:r>
        <w:rPr>
          <w:b w:val="1"/>
          <w:bCs w:val="1"/>
          <w:sz w:val="28"/>
          <w:szCs w:val="28"/>
          <w:rtl w:val="0"/>
          <w:lang w:val="en-US"/>
        </w:rPr>
        <w:t>CONTENTS:</w:t>
      </w:r>
    </w:p>
    <w:p>
      <w:pPr>
        <w:pStyle w:val="Default"/>
        <w:rPr>
          <w:sz w:val="28"/>
          <w:szCs w:val="28"/>
        </w:rPr>
      </w:pPr>
    </w:p>
    <w:p>
      <w:pPr>
        <w:pStyle w:val="Default"/>
        <w:rPr>
          <w:b w:val="1"/>
          <w:bCs w:val="1"/>
          <w:sz w:val="28"/>
          <w:szCs w:val="28"/>
          <w:u w:val="single"/>
        </w:rPr>
      </w:pPr>
      <w:r>
        <w:rPr>
          <w:b w:val="1"/>
          <w:bCs w:val="1"/>
          <w:sz w:val="28"/>
          <w:szCs w:val="28"/>
          <w:u w:val="single"/>
          <w:rtl w:val="0"/>
          <w:lang w:val="en-US"/>
        </w:rPr>
        <w:t>Form/Information</w:t>
        <w:tab/>
        <w:tab/>
        <w:tab/>
        <w:tab/>
        <w:tab/>
        <w:tab/>
        <w:t>Page Number</w:t>
      </w:r>
    </w:p>
    <w:p>
      <w:pPr>
        <w:pStyle w:val="Default"/>
        <w:rPr>
          <w:sz w:val="28"/>
          <w:szCs w:val="28"/>
        </w:rPr>
      </w:pPr>
    </w:p>
    <w:p>
      <w:pPr>
        <w:pStyle w:val="Default"/>
        <w:rPr>
          <w:sz w:val="28"/>
          <w:szCs w:val="28"/>
        </w:rPr>
      </w:pPr>
      <w:r>
        <w:rPr>
          <w:sz w:val="28"/>
          <w:szCs w:val="28"/>
          <w:rtl w:val="0"/>
          <w:lang w:val="en-US"/>
        </w:rPr>
        <w:t>1. Curriculum Modification Proposal Form</w:t>
        <w:tab/>
        <w:tab/>
        <w:tab/>
        <w:t>2</w:t>
      </w:r>
    </w:p>
    <w:p>
      <w:pPr>
        <w:pStyle w:val="Default"/>
        <w:rPr>
          <w:sz w:val="28"/>
          <w:szCs w:val="28"/>
        </w:rPr>
      </w:pPr>
    </w:p>
    <w:p>
      <w:pPr>
        <w:pStyle w:val="Default"/>
        <w:rPr>
          <w:sz w:val="28"/>
          <w:szCs w:val="28"/>
        </w:rPr>
      </w:pPr>
      <w:r>
        <w:rPr>
          <w:sz w:val="28"/>
          <w:szCs w:val="28"/>
          <w:rtl w:val="0"/>
          <w:lang w:val="en-US"/>
        </w:rPr>
        <w:t>2. New Course Proposal Form</w:t>
        <w:tab/>
        <w:tab/>
        <w:tab/>
        <w:tab/>
        <w:tab/>
        <w:t>3-6</w:t>
      </w:r>
    </w:p>
    <w:p>
      <w:pPr>
        <w:pStyle w:val="Default"/>
        <w:rPr>
          <w:sz w:val="28"/>
          <w:szCs w:val="28"/>
        </w:rPr>
      </w:pPr>
    </w:p>
    <w:p>
      <w:pPr>
        <w:pStyle w:val="Default"/>
        <w:rPr>
          <w:sz w:val="28"/>
          <w:szCs w:val="28"/>
        </w:rPr>
      </w:pPr>
      <w:r>
        <w:rPr>
          <w:sz w:val="28"/>
          <w:szCs w:val="28"/>
          <w:rtl w:val="0"/>
          <w:lang w:val="en-US"/>
        </w:rPr>
        <w:t>3. Chancellor</w:t>
      </w:r>
      <w:r>
        <w:rPr>
          <w:sz w:val="28"/>
          <w:szCs w:val="28"/>
          <w:rtl w:val="0"/>
          <w:lang w:val="en-US"/>
        </w:rPr>
        <w:t>’</w:t>
      </w:r>
      <w:r>
        <w:rPr>
          <w:sz w:val="28"/>
          <w:szCs w:val="28"/>
          <w:rtl w:val="0"/>
          <w:lang w:val="en-US"/>
        </w:rPr>
        <w:t>s Form</w:t>
        <w:tab/>
        <w:tab/>
        <w:tab/>
        <w:tab/>
        <w:tab/>
        <w:tab/>
        <w:t>7-8</w:t>
      </w:r>
    </w:p>
    <w:p>
      <w:pPr>
        <w:pStyle w:val="Default"/>
        <w:rPr>
          <w:sz w:val="28"/>
          <w:szCs w:val="28"/>
        </w:rPr>
      </w:pPr>
    </w:p>
    <w:p>
      <w:pPr>
        <w:pStyle w:val="Default"/>
        <w:rPr>
          <w:sz w:val="28"/>
          <w:szCs w:val="28"/>
        </w:rPr>
      </w:pPr>
      <w:r>
        <w:rPr>
          <w:sz w:val="28"/>
          <w:szCs w:val="28"/>
          <w:rtl w:val="0"/>
          <w:lang w:val="en-US"/>
        </w:rPr>
        <w:t>4. Course Need Assessment</w:t>
        <w:tab/>
        <w:tab/>
        <w:tab/>
        <w:tab/>
        <w:tab/>
        <w:t>9</w:t>
      </w:r>
    </w:p>
    <w:p>
      <w:pPr>
        <w:pStyle w:val="Default"/>
        <w:rPr>
          <w:sz w:val="28"/>
          <w:szCs w:val="28"/>
        </w:rPr>
      </w:pPr>
    </w:p>
    <w:p>
      <w:pPr>
        <w:pStyle w:val="Default"/>
        <w:rPr>
          <w:sz w:val="28"/>
          <w:szCs w:val="28"/>
        </w:rPr>
      </w:pPr>
      <w:r>
        <w:rPr>
          <w:sz w:val="28"/>
          <w:szCs w:val="28"/>
          <w:rtl w:val="0"/>
          <w:lang w:val="en-US"/>
        </w:rPr>
        <w:t>5. Course Outline</w:t>
        <w:tab/>
        <w:tab/>
        <w:tab/>
        <w:tab/>
        <w:tab/>
        <w:tab/>
        <w:tab/>
        <w:t>10-20</w:t>
      </w:r>
    </w:p>
    <w:p>
      <w:pPr>
        <w:pStyle w:val="Default"/>
        <w:rPr>
          <w:sz w:val="28"/>
          <w:szCs w:val="28"/>
        </w:rPr>
      </w:pPr>
    </w:p>
    <w:p>
      <w:pPr>
        <w:pStyle w:val="Default"/>
        <w:rPr>
          <w:sz w:val="28"/>
          <w:szCs w:val="28"/>
        </w:rPr>
      </w:pPr>
      <w:r>
        <w:rPr>
          <w:sz w:val="28"/>
          <w:szCs w:val="28"/>
          <w:rtl w:val="0"/>
          <w:lang w:val="en-US"/>
        </w:rPr>
        <w:t>6. Email Correspondence</w:t>
        <w:tab/>
        <w:tab/>
        <w:tab/>
        <w:tab/>
        <w:tab/>
        <w:tab/>
        <w:t>21-22</w:t>
      </w:r>
    </w:p>
    <w:p>
      <w:pPr>
        <w:pStyle w:val="Default"/>
        <w:rPr>
          <w:sz w:val="28"/>
          <w:szCs w:val="28"/>
        </w:rPr>
      </w:pPr>
    </w:p>
    <w:p>
      <w:pPr>
        <w:pStyle w:val="Default"/>
        <w:rPr>
          <w:sz w:val="28"/>
          <w:szCs w:val="28"/>
        </w:rPr>
      </w:pPr>
      <w:r>
        <w:rPr>
          <w:sz w:val="28"/>
          <w:szCs w:val="28"/>
          <w:rtl w:val="0"/>
          <w:lang w:val="en-US"/>
        </w:rPr>
        <w:t xml:space="preserve">7. Signed Library Form </w:t>
        <w:tab/>
        <w:tab/>
        <w:tab/>
        <w:tab/>
        <w:tab/>
        <w:tab/>
        <w:t>23</w:t>
      </w:r>
    </w:p>
    <w:p>
      <w:pPr>
        <w:pStyle w:val="CM4"/>
        <w:spacing w:after="0"/>
        <w:jc w:val="both"/>
        <w:rPr>
          <w:sz w:val="28"/>
          <w:szCs w:val="28"/>
        </w:rPr>
      </w:pPr>
    </w:p>
    <w:p>
      <w:pPr>
        <w:pStyle w:val="CM4"/>
        <w:spacing w:after="0"/>
        <w:jc w:val="both"/>
        <w:rPr>
          <w:sz w:val="28"/>
          <w:szCs w:val="28"/>
        </w:rPr>
      </w:pPr>
      <w:r>
        <w:rPr>
          <w:sz w:val="28"/>
          <w:szCs w:val="28"/>
          <w:rtl w:val="0"/>
          <w:lang w:val="en-US"/>
        </w:rPr>
        <w:t>8. Minutes approving course for Interdisciplinarity</w:t>
        <w:tab/>
        <w:tab/>
        <w:t>24-25</w:t>
      </w: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p>
    <w:p>
      <w:pPr>
        <w:pStyle w:val="CM4"/>
        <w:spacing w:after="0"/>
        <w:jc w:val="both"/>
        <w:rPr>
          <w:rFonts w:ascii="Calibri" w:cs="Calibri" w:hAnsi="Calibri" w:eastAsia="Calibri"/>
          <w:sz w:val="20"/>
          <w:szCs w:val="20"/>
        </w:rPr>
      </w:pPr>
      <w:r>
        <w:rPr>
          <w:rFonts w:ascii="Calibri" w:cs="Calibri" w:hAnsi="Calibri" w:eastAsia="Calibri"/>
          <w:sz w:val="20"/>
          <w:szCs w:val="20"/>
          <w:rtl w:val="0"/>
          <w:lang w:val="en-US"/>
        </w:rPr>
        <w:t xml:space="preserve">New York City College of Technology, CUNY </w:t>
      </w:r>
    </w:p>
    <w:p>
      <w:pPr>
        <w:pStyle w:val="Default"/>
        <w:spacing w:after="120"/>
        <w:rPr>
          <w:rFonts w:ascii="Calibri" w:cs="Calibri" w:hAnsi="Calibri" w:eastAsia="Calibri"/>
          <w:sz w:val="32"/>
          <w:szCs w:val="32"/>
        </w:rPr>
      </w:pPr>
      <w:r>
        <w:rPr>
          <w:rFonts w:ascii="Calibri" w:cs="Calibri" w:hAnsi="Calibri" w:eastAsia="Calibri"/>
          <w:sz w:val="32"/>
          <w:szCs w:val="32"/>
          <w:rtl w:val="0"/>
          <w:lang w:val="en-US"/>
        </w:rPr>
        <w:t>CURRICULUM MODIFICATION PROPOSAL FORM</w:t>
      </w:r>
    </w:p>
    <w:p>
      <w:pPr>
        <w:pStyle w:val="Body A"/>
        <w:rPr>
          <w:rStyle w:val="None"/>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A"/>
        <w:rPr>
          <w:rFonts w:ascii="Calibri" w:cs="Calibri" w:hAnsi="Calibri" w:eastAsia="Calibri"/>
          <w:b w:val="1"/>
          <w:bCs w:val="1"/>
          <w:sz w:val="22"/>
          <w:szCs w:val="22"/>
        </w:rPr>
      </w:pPr>
    </w:p>
    <w:tbl>
      <w:tblPr>
        <w:tblW w:w="88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Symbolic Logic</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10/22/18</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Major</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Laureen Park</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Social Science</w:t>
            </w:r>
          </w:p>
        </w:tc>
      </w:tr>
      <w:tr>
        <w:tblPrEx>
          <w:shd w:val="clear" w:color="auto" w:fill="ced7e7"/>
        </w:tblPrEx>
        <w:trPr>
          <w:trHeight w:val="7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November 1, 2018</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Peter Parides</w:t>
            </w:r>
          </w:p>
        </w:tc>
      </w:tr>
      <w:tr>
        <w:tblPrEx>
          <w:shd w:val="clear" w:color="auto" w:fill="ced7e7"/>
        </w:tblPrEx>
        <w:trPr>
          <w:trHeight w:val="136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pPr>
            <w:r>
              <w:rPr>
                <w:rStyle w:val="None"/>
                <w:rFonts w:ascii="Cambria" w:cs="Cambria" w:hAnsi="Cambria" w:eastAsia="Cambria"/>
              </w:rPr>
              <w:drawing>
                <wp:inline distT="0" distB="0" distL="0" distR="0">
                  <wp:extent cx="2552700" cy="815340"/>
                  <wp:effectExtent l="0" t="0" r="0" b="0"/>
                  <wp:docPr id="1073741825"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5" name="signature.jpg" descr="signature.jpg"/>
                          <pic:cNvPicPr>
                            <a:picLocks noChangeAspect="1"/>
                          </pic:cNvPicPr>
                        </pic:nvPicPr>
                        <pic:blipFill>
                          <a:blip r:embed="rId4">
                            <a:extLst/>
                          </a:blip>
                          <a:stretch>
                            <a:fillRect/>
                          </a:stretch>
                        </pic:blipFill>
                        <pic:spPr>
                          <a:xfrm>
                            <a:off x="0" y="0"/>
                            <a:ext cx="2552700" cy="815340"/>
                          </a:xfrm>
                          <a:prstGeom prst="rect">
                            <a:avLst/>
                          </a:prstGeom>
                          <a:ln w="12700" cap="flat">
                            <a:noFill/>
                            <a:miter lim="400000"/>
                          </a:ln>
                          <a:effectLst/>
                        </pic:spPr>
                      </pic:pic>
                    </a:graphicData>
                  </a:graphic>
                </wp:inline>
              </w:drawing>
            </w:r>
            <w:r>
              <w:rPr>
                <w:rStyle w:val="None"/>
                <w:rFonts w:ascii="Cambria" w:cs="Cambria" w:hAnsi="Cambria" w:eastAsia="Cambria"/>
                <w:rtl w:val="0"/>
                <w:lang w:val="en-US"/>
              </w:rPr>
              <w:t>10/23/18</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Justin Vazquez-Poritz</w:t>
            </w:r>
          </w:p>
        </w:tc>
      </w:tr>
      <w:tr>
        <w:tblPrEx>
          <w:shd w:val="clear" w:color="auto" w:fill="ced7e7"/>
        </w:tblPrEx>
        <w:trPr>
          <w:trHeight w:val="569"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Pr>
              <w:drawing>
                <wp:inline distT="0" distB="0" distL="0" distR="0">
                  <wp:extent cx="1210945" cy="321946"/>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210945" cy="321946"/>
                          </a:xfrm>
                          <a:prstGeom prst="rect">
                            <a:avLst/>
                          </a:prstGeom>
                          <a:ln w="12700" cap="flat">
                            <a:noFill/>
                            <a:miter lim="400000"/>
                          </a:ln>
                          <a:effectLst/>
                        </pic:spPr>
                      </pic:pic>
                    </a:graphicData>
                  </a:graphic>
                </wp:inline>
              </w:drawing>
            </w:r>
            <w:r>
              <w:rPr>
                <w:rStyle w:val="None"/>
                <w:rFonts w:cs="Arial Unicode MS" w:eastAsia="Arial Unicode MS"/>
                <w:rtl w:val="0"/>
                <w:lang w:val="en-US"/>
              </w:rPr>
              <w:t xml:space="preserve"> 1/27/19</w:t>
            </w:r>
          </w:p>
        </w:tc>
      </w:tr>
      <w:tr>
        <w:tblPrEx>
          <w:shd w:val="clear" w:color="auto" w:fill="ced7e7"/>
        </w:tblPrEx>
        <w:trPr>
          <w:trHeight w:val="168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Brief Description of Proposal</w:t>
            </w:r>
          </w:p>
          <w:p>
            <w:pPr>
              <w:pStyle w:val="Body A"/>
              <w:bidi w:val="0"/>
              <w:ind w:left="0" w:right="0" w:firstLine="0"/>
              <w:jc w:val="left"/>
              <w:rPr>
                <w:rtl w:val="0"/>
              </w:rPr>
            </w:pPr>
            <w:r>
              <w:rPr>
                <w:rStyle w:val="None"/>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Symbolic Logic studies the operations and rules at work in arguments, as well as in some applications to mathematical proofs and computer programming. The course covers fundamental elements of propositional and quantificational logic, including translating English to symbolic logic, constructing truth tables, and applying rules for derivations.</w:t>
            </w:r>
          </w:p>
        </w:tc>
      </w:tr>
      <w:tr>
        <w:tblPrEx>
          <w:shd w:val="clear" w:color="auto" w:fill="ced7e7"/>
        </w:tblPrEx>
        <w:trPr>
          <w:trHeight w:val="1615"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Brief Rationale for Proposal</w:t>
            </w:r>
          </w:p>
          <w:p>
            <w:pPr>
              <w:pStyle w:val="Body A"/>
              <w:bidi w:val="0"/>
              <w:ind w:left="0" w:right="0" w:firstLine="0"/>
              <w:jc w:val="left"/>
              <w:rPr>
                <w:rtl w:val="0"/>
              </w:rPr>
            </w:pPr>
            <w:r>
              <w:rPr>
                <w:rStyle w:val="None"/>
                <w:rFonts w:ascii="Calibri" w:cs="Calibri" w:hAnsi="Calibri" w:eastAsia="Calibri"/>
                <w:sz w:val="20"/>
                <w:szCs w:val="20"/>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The course will serve the new Data Analytics program in Economics that is currently being developed. It will also be developed as an Interdisciplinary course serving Baccalaureate students at the college. It is a foundational course in any Philosophy curriculum.</w:t>
            </w:r>
          </w:p>
        </w:tc>
      </w:tr>
      <w:tr>
        <w:tblPrEx>
          <w:shd w:val="clear" w:color="auto" w:fill="ced7e7"/>
        </w:tblPrEx>
        <w:trPr>
          <w:trHeight w:val="138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Proposal History</w:t>
            </w:r>
          </w:p>
          <w:p>
            <w:pPr>
              <w:pStyle w:val="Body A"/>
              <w:bidi w:val="0"/>
              <w:ind w:left="0" w:right="0" w:firstLine="0"/>
              <w:jc w:val="left"/>
              <w:rPr>
                <w:rtl w:val="0"/>
              </w:rPr>
            </w:pPr>
            <w:r>
              <w:rPr>
                <w:rStyle w:val="None"/>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tl w:val="0"/>
                <w:lang w:val="en-US"/>
              </w:rPr>
              <w:t>This the first time this course is being proposed as a new course.</w:t>
            </w:r>
          </w:p>
        </w:tc>
      </w:tr>
    </w:tbl>
    <w:p>
      <w:pPr>
        <w:pStyle w:val="Body A"/>
        <w:widowControl w:val="0"/>
        <w:ind w:left="324" w:hanging="324"/>
        <w:rPr>
          <w:rFonts w:ascii="Calibri" w:cs="Calibri" w:hAnsi="Calibri" w:eastAsia="Calibri"/>
          <w:b w:val="1"/>
          <w:bCs w:val="1"/>
          <w:sz w:val="22"/>
          <w:szCs w:val="22"/>
        </w:rPr>
      </w:pPr>
    </w:p>
    <w:p>
      <w:pPr>
        <w:pStyle w:val="Body A"/>
        <w:widowControl w:val="0"/>
        <w:ind w:left="216" w:hanging="216"/>
        <w:rPr>
          <w:rFonts w:ascii="Calibri" w:cs="Calibri" w:hAnsi="Calibri" w:eastAsia="Calibri"/>
          <w:b w:val="1"/>
          <w:bCs w:val="1"/>
          <w:sz w:val="22"/>
          <w:szCs w:val="22"/>
        </w:rPr>
      </w:pPr>
    </w:p>
    <w:p>
      <w:pPr>
        <w:pStyle w:val="CM4"/>
        <w:spacing w:after="0"/>
        <w:jc w:val="both"/>
        <w:rPr>
          <w:rStyle w:val="None"/>
          <w:sz w:val="20"/>
          <w:szCs w:val="20"/>
        </w:rPr>
      </w:pPr>
      <w:r>
        <w:rPr>
          <w:rStyle w:val="None"/>
          <w:sz w:val="20"/>
          <w:szCs w:val="20"/>
          <w:rtl w:val="0"/>
          <w:lang w:val="en-US"/>
        </w:rPr>
        <w:t xml:space="preserve">New York City College of Technology, CUNY </w:t>
      </w:r>
    </w:p>
    <w:p>
      <w:pPr>
        <w:pStyle w:val="Default"/>
        <w:spacing w:after="120"/>
        <w:rPr>
          <w:rStyle w:val="None"/>
          <w:sz w:val="32"/>
          <w:szCs w:val="32"/>
        </w:rPr>
      </w:pPr>
      <w:r>
        <w:rPr>
          <w:rStyle w:val="None"/>
          <w:sz w:val="32"/>
          <w:szCs w:val="32"/>
          <w:rtl w:val="0"/>
          <w:lang w:val="en-US"/>
        </w:rPr>
        <w:t>NEW COURSE PROPOSAL FORM</w:t>
      </w:r>
    </w:p>
    <w:p>
      <w:pPr>
        <w:pStyle w:val="Body A"/>
        <w:rPr>
          <w:rStyle w:val="None"/>
          <w:sz w:val="20"/>
          <w:szCs w:val="20"/>
        </w:rPr>
      </w:pPr>
      <w:r>
        <w:rPr>
          <w:rStyle w:val="None"/>
          <w:sz w:val="20"/>
          <w:szCs w:val="20"/>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Style w:val="None"/>
          <w:sz w:val="20"/>
          <w:szCs w:val="20"/>
          <w:rtl w:val="0"/>
          <w:lang w:val="en-US"/>
        </w:rPr>
        <w:t xml:space="preserve"> and submit as one package as per instructions.  Use one New Course Proposal Form for each new course.</w:t>
      </w:r>
    </w:p>
    <w:p>
      <w:pPr>
        <w:pStyle w:val="Body A"/>
        <w:rPr>
          <w:rStyle w:val="None"/>
          <w:rFonts w:ascii="Times New Roman" w:cs="Times New Roman" w:hAnsi="Times New Roman" w:eastAsia="Times New Roman"/>
          <w:sz w:val="22"/>
          <w:szCs w:val="22"/>
        </w:rPr>
      </w:pPr>
    </w:p>
    <w:tbl>
      <w:tblPr>
        <w:tblW w:w="863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4"/>
        <w:gridCol w:w="5176"/>
      </w:tblGrid>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Course Title</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Symbolic Logic</w:t>
            </w:r>
          </w:p>
        </w:tc>
      </w:tr>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Proposal Date</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October 22, 2018</w:t>
            </w:r>
          </w:p>
        </w:tc>
      </w:tr>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Proposer</w:t>
            </w:r>
            <w:r>
              <w:rPr>
                <w:rStyle w:val="None"/>
                <w:rFonts w:ascii="Cambria" w:cs="Cambria" w:hAnsi="Cambria" w:eastAsia="Cambria"/>
                <w:b w:val="1"/>
                <w:bCs w:val="1"/>
                <w:sz w:val="22"/>
                <w:szCs w:val="22"/>
                <w:rtl w:val="0"/>
                <w:lang w:val="en-US"/>
              </w:rPr>
              <w:t>’</w:t>
            </w:r>
            <w:r>
              <w:rPr>
                <w:rStyle w:val="None"/>
                <w:rFonts w:ascii="Cambria" w:cs="Cambria" w:hAnsi="Cambria" w:eastAsia="Cambria"/>
                <w:b w:val="1"/>
                <w:bCs w:val="1"/>
                <w:sz w:val="22"/>
                <w:szCs w:val="22"/>
                <w:rtl w:val="0"/>
                <w:lang w:val="en-US"/>
              </w:rPr>
              <w:t xml:space="preserve">s Name </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Laureen Park</w:t>
            </w:r>
          </w:p>
        </w:tc>
      </w:tr>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Course Number</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PHIL2202 / ID</w:t>
            </w:r>
          </w:p>
        </w:tc>
      </w:tr>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Course Credits, Hours</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3 credits, 3 hours</w:t>
            </w:r>
          </w:p>
        </w:tc>
      </w:tr>
      <w:tr>
        <w:tblPrEx>
          <w:shd w:val="clear" w:color="auto" w:fill="ced7e7"/>
        </w:tblPrEx>
        <w:trPr>
          <w:trHeight w:val="27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Course Pre / Co-Requisites</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MAT 1190 or higher</w:t>
            </w:r>
          </w:p>
        </w:tc>
      </w:tr>
      <w:tr>
        <w:tblPrEx>
          <w:shd w:val="clear" w:color="auto" w:fill="ced7e7"/>
        </w:tblPrEx>
        <w:trPr>
          <w:trHeight w:val="168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Catalog Course Description</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Symbolic Logic studies the operations and rules at work in arguments, as well as in some applications to mathematical proofs and computer programming. The course covers fundamental elements of propositional and quantificational logic, including translating English to symbolic logic, constructing truth tables, and applying rules for derivations.</w:t>
            </w:r>
          </w:p>
        </w:tc>
      </w:tr>
      <w:tr>
        <w:tblPrEx>
          <w:shd w:val="clear" w:color="auto" w:fill="ced7e7"/>
        </w:tblPrEx>
        <w:trPr>
          <w:trHeight w:val="5105"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Brief Rationale</w:t>
            </w:r>
          </w:p>
          <w:p>
            <w:pPr>
              <w:pStyle w:val="Body A"/>
              <w:bidi w:val="0"/>
              <w:ind w:left="0" w:right="0" w:firstLine="0"/>
              <w:jc w:val="left"/>
              <w:rPr>
                <w:rtl w:val="0"/>
              </w:rPr>
            </w:pPr>
            <w:r>
              <w:rPr>
                <w:rStyle w:val="None"/>
                <w:sz w:val="20"/>
                <w:szCs w:val="20"/>
                <w:rtl w:val="0"/>
                <w:lang w:val="en-US"/>
              </w:rPr>
              <w:t>Provide a concise summary of why this course is important to the department, school or college.</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Symbolic Logic studies the underlying patterns of thought, proofs and argumentation. It can be used to analyze natural language in its basic operations, as well as assess arguments for validity and soundness. Propositional logic studies operations similar to what computer programmers call </w:t>
            </w:r>
            <w:r>
              <w:rPr>
                <w:rStyle w:val="None"/>
                <w:sz w:val="22"/>
                <w:szCs w:val="22"/>
                <w:rtl w:val="0"/>
                <w:lang w:val="en-US"/>
              </w:rPr>
              <w:t>“</w:t>
            </w:r>
            <w:r>
              <w:rPr>
                <w:rStyle w:val="None"/>
                <w:sz w:val="22"/>
                <w:szCs w:val="22"/>
                <w:rtl w:val="0"/>
                <w:lang w:val="en-US"/>
              </w:rPr>
              <w:t>Boolean</w:t>
            </w:r>
            <w:r>
              <w:rPr>
                <w:rStyle w:val="None"/>
                <w:sz w:val="22"/>
                <w:szCs w:val="22"/>
                <w:rtl w:val="0"/>
                <w:lang w:val="en-US"/>
              </w:rPr>
              <w:t>”</w:t>
            </w:r>
            <w:r>
              <w:rPr>
                <w:rStyle w:val="None"/>
                <w:sz w:val="22"/>
                <w:szCs w:val="22"/>
                <w:rtl w:val="0"/>
                <w:lang w:val="en-US"/>
              </w:rPr>
              <w:t>. Rules of implication and derivation are also introduced. Predicate logic introduces additional operations governing variables and constants. Logic uses a binary system of truth and falsehood to assess valid arguments and pathways much in the way computer programmers or electrical engineers use 1</w:t>
            </w:r>
            <w:r>
              <w:rPr>
                <w:rStyle w:val="None"/>
                <w:sz w:val="22"/>
                <w:szCs w:val="22"/>
                <w:rtl w:val="0"/>
                <w:lang w:val="en-US"/>
              </w:rPr>
              <w:t>’</w:t>
            </w:r>
            <w:r>
              <w:rPr>
                <w:rStyle w:val="None"/>
                <w:sz w:val="22"/>
                <w:szCs w:val="22"/>
                <w:rtl w:val="0"/>
                <w:lang w:val="en-US"/>
              </w:rPr>
              <w:t>s and 0</w:t>
            </w:r>
            <w:r>
              <w:rPr>
                <w:rStyle w:val="None"/>
                <w:sz w:val="22"/>
                <w:szCs w:val="22"/>
                <w:rtl w:val="0"/>
                <w:lang w:val="en-US"/>
              </w:rPr>
              <w:t>’</w:t>
            </w:r>
            <w:r>
              <w:rPr>
                <w:rStyle w:val="None"/>
                <w:sz w:val="22"/>
                <w:szCs w:val="22"/>
                <w:rtl w:val="0"/>
                <w:lang w:val="en-US"/>
              </w:rPr>
              <w:t xml:space="preserve">s. The course will be required in the new Data Analytics program in Economics. It will also be developed as an interdisciplinary course with interest from faculty from Math, CST, and CET </w:t>
            </w:r>
            <w:r>
              <w:rPr>
                <w:rStyle w:val="None"/>
                <w:rtl w:val="0"/>
                <w:lang w:val="en-US"/>
              </w:rPr>
              <w:t>(see email correspondences on page 20).</w:t>
            </w:r>
            <w:r>
              <w:rPr>
                <w:rStyle w:val="None"/>
                <w:sz w:val="22"/>
                <w:szCs w:val="22"/>
                <w:rtl w:val="0"/>
                <w:lang w:val="en-US"/>
              </w:rPr>
              <w:t xml:space="preserve"> As such, it will serve Baccalaureate students, and is especially suitable for students in applied math programs, as well as in Technology and Design programs.</w:t>
            </w:r>
          </w:p>
        </w:tc>
      </w:tr>
      <w:tr>
        <w:tblPrEx>
          <w:shd w:val="clear" w:color="auto" w:fill="ced7e7"/>
        </w:tblPrEx>
        <w:trPr>
          <w:trHeight w:val="99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 xml:space="preserve">CUNY </w:t>
            </w:r>
            <w:r>
              <w:rPr>
                <w:rStyle w:val="None"/>
                <w:rFonts w:ascii="Times New Roman" w:hAnsi="Times New Roman" w:hint="default"/>
                <w:b w:val="1"/>
                <w:bCs w:val="1"/>
                <w:sz w:val="22"/>
                <w:szCs w:val="22"/>
                <w:rtl w:val="0"/>
                <w:lang w:val="en-US"/>
              </w:rPr>
              <w:t xml:space="preserve">– </w:t>
            </w:r>
            <w:r>
              <w:rPr>
                <w:rStyle w:val="None"/>
                <w:rFonts w:ascii="Times New Roman" w:hAnsi="Times New Roman"/>
                <w:b w:val="1"/>
                <w:bCs w:val="1"/>
                <w:sz w:val="22"/>
                <w:szCs w:val="22"/>
                <w:rtl w:val="0"/>
                <w:lang w:val="en-US"/>
              </w:rPr>
              <w:t>Course Equivalencies</w:t>
            </w:r>
          </w:p>
          <w:p>
            <w:pPr>
              <w:pStyle w:val="Body A"/>
              <w:bidi w:val="0"/>
              <w:ind w:left="0" w:right="0" w:firstLine="0"/>
              <w:jc w:val="left"/>
              <w:rPr>
                <w:rtl w:val="0"/>
              </w:rPr>
            </w:pPr>
            <w:r>
              <w:rPr>
                <w:rStyle w:val="None"/>
                <w:sz w:val="20"/>
                <w:szCs w:val="20"/>
                <w:rtl w:val="0"/>
                <w:lang w:val="en-US"/>
              </w:rPr>
              <w:t>Provide information about equivalent courses within CUNY, if any.</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Queens College </w:t>
            </w:r>
            <w:r>
              <w:rPr>
                <w:rStyle w:val="None"/>
                <w:sz w:val="22"/>
                <w:szCs w:val="22"/>
                <w:rtl w:val="0"/>
                <w:lang w:val="en-US"/>
              </w:rPr>
              <w:t xml:space="preserve">– </w:t>
            </w:r>
            <w:r>
              <w:rPr>
                <w:rStyle w:val="None"/>
                <w:sz w:val="22"/>
                <w:szCs w:val="22"/>
                <w:rtl w:val="0"/>
                <w:lang w:val="en-US"/>
              </w:rPr>
              <w:t xml:space="preserve">PHIL 109, Hunter College- PHIL 27500/MAT  27500, Lehman College </w:t>
            </w:r>
            <w:r>
              <w:rPr>
                <w:rStyle w:val="None"/>
                <w:sz w:val="22"/>
                <w:szCs w:val="22"/>
                <w:rtl w:val="0"/>
                <w:lang w:val="en-US"/>
              </w:rPr>
              <w:t xml:space="preserve">– </w:t>
            </w:r>
            <w:r>
              <w:rPr>
                <w:rStyle w:val="None"/>
                <w:sz w:val="22"/>
                <w:szCs w:val="22"/>
                <w:rtl w:val="0"/>
                <w:lang w:val="en-US"/>
              </w:rPr>
              <w:t>PHIL 230/LNG 266, Baruch College - PHIL 3010</w:t>
            </w:r>
          </w:p>
        </w:tc>
      </w:tr>
      <w:tr>
        <w:tblPrEx>
          <w:shd w:val="clear" w:color="auto" w:fill="ced7e7"/>
        </w:tblPrEx>
        <w:trPr>
          <w:trHeight w:val="1162"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Intent to Submit as Common Core</w:t>
            </w:r>
          </w:p>
          <w:p>
            <w:pPr>
              <w:pStyle w:val="Body A"/>
              <w:bidi w:val="0"/>
              <w:ind w:left="0" w:right="0" w:firstLine="0"/>
              <w:jc w:val="left"/>
              <w:rPr>
                <w:rtl w:val="0"/>
              </w:rPr>
            </w:pPr>
            <w:r>
              <w:rPr>
                <w:rStyle w:val="None"/>
                <w:sz w:val="20"/>
                <w:szCs w:val="20"/>
                <w:rtl w:val="0"/>
                <w:lang w:val="en-US"/>
              </w:rPr>
              <w:t>If this course is intended to fulfill one of the requirements in the common core, then indicate which area.</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Intent to submit for Scientific World.</w:t>
            </w:r>
          </w:p>
        </w:tc>
      </w:tr>
      <w:tr>
        <w:tblPrEx>
          <w:shd w:val="clear" w:color="auto" w:fill="ced7e7"/>
        </w:tblPrEx>
        <w:trPr>
          <w:trHeight w:val="375" w:hRule="atLeast"/>
        </w:trPr>
        <w:tc>
          <w:tcPr>
            <w:tcW w:type="dxa" w:w="34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For Interdisciplinary Courses:</w:t>
            </w:r>
          </w:p>
          <w:p>
            <w:pPr>
              <w:pStyle w:val="List Paragraph"/>
              <w:numPr>
                <w:ilvl w:val="0"/>
                <w:numId w:val="1"/>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Date submitted to ID Committee for review</w:t>
            </w:r>
          </w:p>
          <w:p>
            <w:pPr>
              <w:pStyle w:val="List Paragraph"/>
              <w:numPr>
                <w:ilvl w:val="0"/>
                <w:numId w:val="1"/>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Date ID recommendation received</w:t>
            </w:r>
          </w:p>
          <w:p>
            <w:pPr>
              <w:pStyle w:val="List Paragraph"/>
              <w:ind w:left="180" w:firstLine="0"/>
              <w:rPr>
                <w:rStyle w:val="None"/>
                <w:rFonts w:ascii="Times New Roman" w:cs="Times New Roman" w:hAnsi="Times New Roman" w:eastAsia="Times New Roman"/>
                <w:sz w:val="20"/>
                <w:szCs w:val="20"/>
                <w:lang w:val="en-US"/>
              </w:rPr>
            </w:pPr>
          </w:p>
          <w:p>
            <w:pPr>
              <w:pStyle w:val="Body A"/>
              <w:bidi w:val="0"/>
              <w:ind w:left="0" w:right="0" w:firstLine="0"/>
              <w:jc w:val="left"/>
              <w:rPr>
                <w:rtl w:val="0"/>
              </w:rPr>
            </w:pPr>
            <w:r>
              <w:rPr>
                <w:rStyle w:val="None"/>
                <w:sz w:val="20"/>
                <w:szCs w:val="20"/>
                <w:rtl w:val="0"/>
                <w:lang w:val="en-US"/>
              </w:rPr>
              <w:t>- Will all sections be offered as ID? Y/N</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11/17/18</w:t>
            </w:r>
          </w:p>
        </w:tc>
      </w:tr>
      <w:tr>
        <w:tblPrEx>
          <w:shd w:val="clear" w:color="auto" w:fill="ced7e7"/>
        </w:tblPrEx>
        <w:trPr>
          <w:trHeight w:val="375" w:hRule="atLeast"/>
        </w:trPr>
        <w:tc>
          <w:tcPr>
            <w:tcW w:type="dxa" w:w="34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2/14/19</w:t>
            </w:r>
          </w:p>
        </w:tc>
      </w:tr>
      <w:tr>
        <w:tblPrEx>
          <w:shd w:val="clear" w:color="auto" w:fill="ced7e7"/>
        </w:tblPrEx>
        <w:trPr>
          <w:trHeight w:val="522" w:hRule="atLeast"/>
        </w:trPr>
        <w:tc>
          <w:tcPr>
            <w:tcW w:type="dxa" w:w="34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No</w:t>
            </w:r>
          </w:p>
        </w:tc>
      </w:tr>
      <w:tr>
        <w:tblPrEx>
          <w:shd w:val="clear" w:color="auto" w:fill="ced7e7"/>
        </w:tblPrEx>
        <w:trPr>
          <w:trHeight w:val="511" w:hRule="atLeast"/>
        </w:trPr>
        <w:tc>
          <w:tcPr>
            <w:tcW w:type="dxa" w:w="3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sz w:val="22"/>
                <w:szCs w:val="22"/>
                <w:rtl w:val="0"/>
                <w:lang w:val="en-US"/>
              </w:rPr>
              <w:t>Intent to Submit as a Writing Intensive Course</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N/A</w:t>
            </w:r>
          </w:p>
        </w:tc>
      </w:tr>
    </w:tbl>
    <w:p>
      <w:pPr>
        <w:pStyle w:val="Body A"/>
        <w:widowControl w:val="0"/>
        <w:ind w:left="324" w:hanging="324"/>
        <w:rPr>
          <w:rStyle w:val="None"/>
          <w:rFonts w:ascii="Times New Roman" w:cs="Times New Roman" w:hAnsi="Times New Roman" w:eastAsia="Times New Roman"/>
          <w:sz w:val="22"/>
          <w:szCs w:val="22"/>
        </w:rPr>
      </w:pPr>
    </w:p>
    <w:p>
      <w:pPr>
        <w:pStyle w:val="Body A"/>
        <w:rPr>
          <w:sz w:val="20"/>
          <w:szCs w:val="20"/>
        </w:rPr>
      </w:pPr>
    </w:p>
    <w:p>
      <w:pPr>
        <w:pStyle w:val="Body A"/>
        <w:rPr>
          <w:rStyle w:val="None"/>
          <w:sz w:val="20"/>
          <w:szCs w:val="20"/>
        </w:rPr>
      </w:pPr>
      <w:r>
        <w:rPr>
          <w:rStyle w:val="None"/>
          <w:sz w:val="20"/>
          <w:szCs w:val="20"/>
          <w:rtl w:val="0"/>
          <w:lang w:val="en-US"/>
        </w:rPr>
        <w:t>Please include all appropriate documentation as indicated in the NEW COURSE PROPOSAL Combine all information into a single document that is included in the Curriculum Modification Form.</w:t>
      </w:r>
    </w:p>
    <w:p>
      <w:pPr>
        <w:pStyle w:val="Body A"/>
      </w:pPr>
    </w:p>
    <w:p>
      <w:pPr>
        <w:pStyle w:val="Body A"/>
        <w:rPr>
          <w:rStyle w:val="None"/>
          <w:rFonts w:ascii="Cambria" w:cs="Cambria" w:hAnsi="Cambria" w:eastAsia="Cambria"/>
          <w:b w:val="1"/>
          <w:bCs w:val="1"/>
          <w:lang w:val="de-DE"/>
        </w:rPr>
      </w:pPr>
      <w:r>
        <w:rPr>
          <w:rStyle w:val="None"/>
          <w:rFonts w:ascii="Cambria" w:cs="Cambria" w:hAnsi="Cambria" w:eastAsia="Cambria"/>
          <w:b w:val="1"/>
          <w:bCs w:val="1"/>
          <w:rtl w:val="0"/>
          <w:lang w:val="de-DE"/>
        </w:rPr>
        <w:t>NEW COURSE PROPOSAL CHECK LIST</w:t>
      </w:r>
    </w:p>
    <w:p>
      <w:pPr>
        <w:pStyle w:val="Body A"/>
        <w:rPr>
          <w:rStyle w:val="None"/>
          <w:sz w:val="20"/>
          <w:szCs w:val="20"/>
        </w:rPr>
      </w:pPr>
      <w:r>
        <w:rPr>
          <w:rStyle w:val="None"/>
          <w:sz w:val="20"/>
          <w:szCs w:val="20"/>
          <w:rtl w:val="0"/>
          <w:lang w:val="en-US"/>
        </w:rPr>
        <w:t>Use this checklist to ensure that all required documentation has been included.  You may wish to use this checklist as a table of contents within the new course proposal.</w:t>
      </w:r>
    </w:p>
    <w:tbl>
      <w:tblPr>
        <w:tblW w:w="863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33"/>
        <w:gridCol w:w="997"/>
      </w:tblGrid>
      <w:tr>
        <w:tblPrEx>
          <w:shd w:val="clear" w:color="auto" w:fill="ced7e7"/>
        </w:tblPrEx>
        <w:trPr>
          <w:trHeight w:val="3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Calibri" w:cs="Calibri" w:hAnsi="Calibri" w:eastAsia="Calibri"/>
                <w:b w:val="1"/>
                <w:bCs w:val="1"/>
                <w:sz w:val="22"/>
                <w:szCs w:val="22"/>
                <w:rtl w:val="0"/>
                <w:lang w:val="en-US"/>
              </w:rPr>
              <w:t>Completed NEW COURSE PROPOSAL FORM</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Title, Number, Credits, Hours, Catalog course description</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Brief Rationale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30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 xml:space="preserve">CUNY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Course Equivalencies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 xml:space="preserve">Completed </w:t>
            </w:r>
            <w:r>
              <w:rPr>
                <w:rStyle w:val="Hyperlink.1"/>
                <w:rFonts w:ascii="Calibri" w:cs="Calibri" w:hAnsi="Calibri" w:eastAsia="Calibri"/>
                <w:color w:val="0000ff"/>
                <w:sz w:val="22"/>
                <w:szCs w:val="22"/>
                <w:u w:val="single" w:color="0000ff"/>
                <w:lang w:val="en-US"/>
              </w:rPr>
              <w:fldChar w:fldCharType="begin" w:fldLock="0"/>
            </w:r>
            <w:r>
              <w:rPr>
                <w:rStyle w:val="Hyperlink.1"/>
                <w:rFonts w:ascii="Calibri" w:cs="Calibri" w:hAnsi="Calibri" w:eastAsia="Calibri"/>
                <w:color w:val="0000ff"/>
                <w:sz w:val="22"/>
                <w:szCs w:val="22"/>
                <w:u w:val="single" w:color="0000ff"/>
                <w:lang w:val="en-US"/>
              </w:rPr>
              <w:instrText xml:space="preserve"> HYPERLINK "https://openlab.citytech.cuny.edu/collegecouncil/files/2014/08/curriculum_modification_library_form-rev3F16.doc"</w:instrText>
            </w:r>
            <w:r>
              <w:rPr>
                <w:rStyle w:val="Hyperlink.1"/>
                <w:rFonts w:ascii="Calibri" w:cs="Calibri" w:hAnsi="Calibri" w:eastAsia="Calibri"/>
                <w:color w:val="0000ff"/>
                <w:sz w:val="22"/>
                <w:szCs w:val="22"/>
                <w:u w:val="single" w:color="0000ff"/>
                <w:lang w:val="en-US"/>
              </w:rPr>
              <w:fldChar w:fldCharType="separate" w:fldLock="0"/>
            </w:r>
            <w:r>
              <w:rPr>
                <w:rStyle w:val="Hyperlink.1"/>
                <w:rFonts w:ascii="Calibri" w:cs="Calibri" w:hAnsi="Calibri" w:eastAsia="Calibri"/>
                <w:color w:val="0000ff"/>
                <w:sz w:val="22"/>
                <w:szCs w:val="22"/>
                <w:u w:val="single" w:color="0000ff"/>
                <w:rtl w:val="0"/>
                <w:lang w:val="en-US"/>
              </w:rPr>
              <w:t>Library Resources and Information Literacy Form</w:t>
            </w:r>
            <w:r>
              <w:rPr/>
              <w:fldChar w:fldCharType="end" w:fldLock="0"/>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60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Course Outline </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Include within the outline the following.</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60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Hours and Credits for Lecture and Labs</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If hours exceed mandated Carnegie Hours, then rationale for this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tl w:val="0"/>
                <w:lang w:val="en-US"/>
              </w:rPr>
              <w:t>3 credits</w:t>
            </w:r>
          </w:p>
        </w:tc>
      </w:tr>
      <w:tr>
        <w:tblPrEx>
          <w:shd w:val="clear" w:color="auto" w:fill="ced7e7"/>
        </w:tblPrEx>
        <w:trPr>
          <w:trHeight w:val="30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Prerequisites/Co- requisites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Detailed Course Description</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116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Course Specific Learning Outcome and Assessment Tables</w:t>
            </w:r>
          </w:p>
          <w:p>
            <w:pPr>
              <w:pStyle w:val="List Paragraph"/>
              <w:numPr>
                <w:ilvl w:val="0"/>
                <w:numId w:val="5"/>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Discipline Specific</w:t>
            </w:r>
          </w:p>
          <w:p>
            <w:pPr>
              <w:pStyle w:val="List Paragraph"/>
              <w:numPr>
                <w:ilvl w:val="0"/>
                <w:numId w:val="5"/>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General Education Specific Learning Outcome and Assessment Tables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Example Weekly Course outline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Grade Policy and Procedure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Recommended Instructional Materials (Textbooks, lab supplies, etc)</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Library resources and bibliography</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X</w:t>
            </w:r>
          </w:p>
        </w:tc>
      </w:tr>
      <w:tr>
        <w:tblPrEx>
          <w:shd w:val="clear" w:color="auto" w:fill="ced7e7"/>
        </w:tblPrEx>
        <w:trPr>
          <w:trHeight w:val="84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Course Need Assessment.  </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Describe the need for this course. Include in your statement the following information.</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004"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Target Students who will take this course.  Which programs or departments, and how many anticipated?</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Documentation of student views (if applicable, e.g. non-required elective).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BS in Data Analytics, Applied math, Tech and Design AA and BS degrees.</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Projected headcounts (fall/spring and day/evening) for each new or modified course.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25</w:t>
            </w:r>
          </w:p>
        </w:tc>
      </w:tr>
      <w:tr>
        <w:tblPrEx>
          <w:shd w:val="clear" w:color="auto" w:fill="ced7e7"/>
        </w:tblPrEx>
        <w:trPr>
          <w:trHeight w:val="121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n/a</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Where does this course overlap with other courses, both within and outside of the department?</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pending</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yes</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n/a</w:t>
            </w:r>
          </w:p>
        </w:tc>
      </w:tr>
      <w:tr>
        <w:tblPrEx>
          <w:shd w:val="clear" w:color="auto" w:fill="ced7e7"/>
        </w:tblPrEx>
        <w:trPr>
          <w:trHeight w:val="60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Course Design</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 xml:space="preserve">Describe how this course is designed. </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34"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Course Context (e.g. required, elective, capstone)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Required, elective</w:t>
            </w:r>
          </w:p>
        </w:tc>
      </w:tr>
      <w:tr>
        <w:tblPrEx>
          <w:shd w:val="clear" w:color="auto" w:fill="ced7e7"/>
        </w:tblPrEx>
        <w:trPr>
          <w:trHeight w:val="804"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Course Structure: how the course will be offered (e.g. lecture, seminar, tutorial, fieldtrip)?</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Lecture, max 25, one section</w:t>
            </w:r>
          </w:p>
        </w:tc>
      </w:tr>
      <w:tr>
        <w:tblPrEx>
          <w:shd w:val="clear" w:color="auto" w:fill="ced7e7"/>
        </w:tblPrEx>
        <w:trPr>
          <w:trHeight w:val="1234"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Anticipated pedagogical strategies and instructional design (e.g. Group Work, Case Study, Team Project, Lecture)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Tests, exams, group work, team project</w:t>
            </w:r>
          </w:p>
        </w:tc>
      </w:tr>
      <w:tr>
        <w:tblPrEx>
          <w:shd w:val="clear" w:color="auto" w:fill="ced7e7"/>
        </w:tblPrEx>
        <w:trPr>
          <w:trHeight w:val="634"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How does this course support Programmatic Learning Outcomes?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color w:val="333333"/>
                <w:sz w:val="18"/>
                <w:szCs w:val="18"/>
                <w:u w:color="333333"/>
                <w:rtl w:val="0"/>
                <w:lang w:val="en-US"/>
              </w:rPr>
              <w:t>See course outline</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Is this course designed to be partially or fully online?  If so, describe how this benefits students and/or program.</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Not at present</w:t>
            </w:r>
          </w:p>
        </w:tc>
      </w:tr>
      <w:tr>
        <w:tblPrEx>
          <w:shd w:val="clear" w:color="auto" w:fill="ced7e7"/>
        </w:tblPrEx>
        <w:trPr>
          <w:trHeight w:val="3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Calibri" w:cs="Calibri" w:hAnsi="Calibri" w:eastAsia="Calibri"/>
                <w:b w:val="1"/>
                <w:bCs w:val="1"/>
                <w:sz w:val="22"/>
                <w:szCs w:val="22"/>
                <w:rtl w:val="0"/>
                <w:lang w:val="en-US"/>
              </w:rPr>
              <w:t>Additional Forms for Specific Course Categories</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Calibri" w:cs="Calibri" w:hAnsi="Calibri" w:eastAsia="Calibri"/>
                <w:color w:val="0000ff"/>
                <w:sz w:val="22"/>
                <w:szCs w:val="22"/>
                <w:u w:val="single" w:color="0000ff"/>
                <w:lang w:val="en-US"/>
              </w:rPr>
              <w:fldChar w:fldCharType="begin" w:fldLock="0"/>
            </w:r>
            <w:r>
              <w:rPr>
                <w:rStyle w:val="Hyperlink.1"/>
                <w:rFonts w:ascii="Calibri" w:cs="Calibri" w:hAnsi="Calibri" w:eastAsia="Calibri"/>
                <w:color w:val="0000ff"/>
                <w:sz w:val="22"/>
                <w:szCs w:val="22"/>
                <w:u w:val="single" w:color="0000ff"/>
                <w:lang w:val="en-US"/>
              </w:rPr>
              <w:instrText xml:space="preserve"> HYPERLINK "http://openlab.citytech.cuny.edu/collegecouncil/files/2014/08/Application-for-Interdisciplinary-Course-Designation.docx"</w:instrText>
            </w:r>
            <w:r>
              <w:rPr>
                <w:rStyle w:val="Hyperlink.1"/>
                <w:rFonts w:ascii="Calibri" w:cs="Calibri" w:hAnsi="Calibri" w:eastAsia="Calibri"/>
                <w:color w:val="0000ff"/>
                <w:sz w:val="22"/>
                <w:szCs w:val="22"/>
                <w:u w:val="single" w:color="0000ff"/>
                <w:lang w:val="en-US"/>
              </w:rPr>
              <w:fldChar w:fldCharType="separate" w:fldLock="0"/>
            </w:r>
            <w:r>
              <w:rPr>
                <w:rStyle w:val="Hyperlink.1"/>
                <w:rFonts w:ascii="Calibri" w:cs="Calibri" w:hAnsi="Calibri" w:eastAsia="Calibri"/>
                <w:color w:val="0000ff"/>
                <w:sz w:val="22"/>
                <w:szCs w:val="22"/>
                <w:u w:val="single" w:color="0000ff"/>
                <w:rtl w:val="0"/>
                <w:lang w:val="en-US"/>
              </w:rPr>
              <w:t xml:space="preserve"> Interdisciplinary Form</w:t>
            </w:r>
            <w:r>
              <w:rPr/>
              <w:fldChar w:fldCharType="end" w:fldLock="0"/>
            </w:r>
            <w:r>
              <w:rPr>
                <w:rStyle w:val="None"/>
                <w:rFonts w:ascii="Calibri" w:cs="Calibri" w:hAnsi="Calibri" w:eastAsia="Calibri"/>
                <w:color w:val="c00000"/>
                <w:sz w:val="22"/>
                <w:szCs w:val="22"/>
                <w:u w:color="c00000"/>
                <w:rtl w:val="0"/>
                <w:lang w:val="en-US"/>
              </w:rPr>
              <w:t xml:space="preserve"> </w:t>
            </w:r>
            <w:r>
              <w:rPr>
                <w:rStyle w:val="None"/>
                <w:rFonts w:ascii="Calibri" w:cs="Calibri" w:hAnsi="Calibri" w:eastAsia="Calibri"/>
                <w:sz w:val="22"/>
                <w:szCs w:val="22"/>
                <w:rtl w:val="0"/>
                <w:lang w:val="en-US"/>
              </w:rPr>
              <w:t>(if applicable)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approved</w:t>
            </w:r>
          </w:p>
        </w:tc>
      </w:tr>
      <w:tr>
        <w:tblPrEx>
          <w:shd w:val="clear" w:color="auto" w:fill="ced7e7"/>
        </w:tblPrEx>
        <w:trPr>
          <w:trHeight w:val="9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2"/>
                <w:szCs w:val="22"/>
              </w:rPr>
            </w:pPr>
            <w:r>
              <w:rPr>
                <w:rStyle w:val="None"/>
                <w:rFonts w:ascii="Calibri" w:cs="Calibri" w:hAnsi="Calibri" w:eastAsia="Calibri"/>
                <w:color w:val="c00000"/>
                <w:sz w:val="22"/>
                <w:szCs w:val="22"/>
                <w:u w:color="c00000"/>
                <w:rtl w:val="0"/>
                <w:lang w:val="en-US"/>
              </w:rPr>
              <w:t xml:space="preserve"> </w:t>
            </w:r>
            <w:r>
              <w:rPr>
                <w:rStyle w:val="None"/>
                <w:rFonts w:ascii="Calibri" w:cs="Calibri" w:hAnsi="Calibri" w:eastAsia="Calibri"/>
                <w:sz w:val="22"/>
                <w:szCs w:val="22"/>
                <w:rtl w:val="0"/>
                <w:lang w:val="en-US"/>
              </w:rPr>
              <w:t>Interdisciplinary Committee Recommendation (if applicable and if received)*</w:t>
            </w:r>
          </w:p>
          <w:p>
            <w:pPr>
              <w:pStyle w:val="Body A"/>
              <w:bidi w:val="0"/>
              <w:ind w:left="0" w:right="0" w:firstLine="0"/>
              <w:jc w:val="left"/>
              <w:rPr>
                <w:rtl w:val="0"/>
              </w:rPr>
            </w:pPr>
            <w:r>
              <w:rPr>
                <w:rStyle w:val="None"/>
                <w:rFonts w:ascii="Calibri" w:cs="Calibri" w:hAnsi="Calibri" w:eastAsia="Calibri"/>
                <w:sz w:val="22"/>
                <w:szCs w:val="22"/>
                <w:rtl w:val="0"/>
                <w:lang w:val="en-US"/>
              </w:rPr>
              <w:t xml:space="preserve">  </w:t>
            </w:r>
            <w:r>
              <w:rPr>
                <w:rStyle w:val="None"/>
                <w:rFonts w:ascii="Calibri" w:cs="Calibri" w:hAnsi="Calibri" w:eastAsia="Calibri"/>
                <w:sz w:val="20"/>
                <w:szCs w:val="20"/>
                <w:rtl w:val="0"/>
                <w:lang w:val="en-US"/>
              </w:rPr>
              <w:t>*Recommendation must be received before consideration by full Curriculum Committee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cs="Arial Unicode MS" w:eastAsia="Arial Unicode MS"/>
                <w:rtl w:val="0"/>
                <w:lang w:val="en-US"/>
              </w:rPr>
              <w:t>2/14/19</w:t>
            </w:r>
          </w:p>
        </w:tc>
      </w:tr>
      <w:tr>
        <w:tblPrEx>
          <w:shd w:val="clear" w:color="auto" w:fill="ced7e7"/>
        </w:tblPrEx>
        <w:trPr>
          <w:trHeight w:val="28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Calibri" w:cs="Calibri" w:hAnsi="Calibri" w:eastAsia="Calibri"/>
                <w:color w:val="0000ff"/>
                <w:sz w:val="22"/>
                <w:szCs w:val="22"/>
                <w:u w:val="single" w:color="0000ff"/>
                <w:lang w:val="en-US"/>
              </w:rPr>
              <w:fldChar w:fldCharType="begin" w:fldLock="0"/>
            </w:r>
            <w:r>
              <w:rPr>
                <w:rStyle w:val="Hyperlink.1"/>
                <w:rFonts w:ascii="Calibri" w:cs="Calibri" w:hAnsi="Calibri" w:eastAsia="Calibri"/>
                <w:color w:val="0000ff"/>
                <w:sz w:val="22"/>
                <w:szCs w:val="22"/>
                <w:u w:val="single" w:color="0000ff"/>
                <w:lang w:val="en-US"/>
              </w:rPr>
              <w:instrText xml:space="preserve"> HYPERLINK "http://openlab.citytech.cuny.edu/collegecouncil/files/2014/08/CommonCoreCourseSubmissionForm_4.2.12.doc"</w:instrText>
            </w:r>
            <w:r>
              <w:rPr>
                <w:rStyle w:val="Hyperlink.1"/>
                <w:rFonts w:ascii="Calibri" w:cs="Calibri" w:hAnsi="Calibri" w:eastAsia="Calibri"/>
                <w:color w:val="0000ff"/>
                <w:sz w:val="22"/>
                <w:szCs w:val="22"/>
                <w:u w:val="single" w:color="0000ff"/>
                <w:lang w:val="en-US"/>
              </w:rPr>
              <w:fldChar w:fldCharType="separate" w:fldLock="0"/>
            </w:r>
            <w:r>
              <w:rPr>
                <w:rStyle w:val="Hyperlink.1"/>
                <w:rFonts w:ascii="Calibri" w:cs="Calibri" w:hAnsi="Calibri" w:eastAsia="Calibri"/>
                <w:color w:val="0000ff"/>
                <w:sz w:val="22"/>
                <w:szCs w:val="22"/>
                <w:u w:val="single" w:color="0000ff"/>
                <w:rtl w:val="0"/>
                <w:lang w:val="en-US"/>
              </w:rPr>
              <w:t>Common Core (Liberal Arts) Intent to Submit</w:t>
            </w:r>
            <w:r>
              <w:rPr/>
              <w:fldChar w:fldCharType="end" w:fldLock="0"/>
            </w:r>
            <w:r>
              <w:rPr>
                <w:rStyle w:val="None"/>
                <w:rFonts w:ascii="Calibri" w:cs="Calibri" w:hAnsi="Calibri" w:eastAsia="Calibri"/>
                <w:sz w:val="22"/>
                <w:szCs w:val="22"/>
                <w:rtl w:val="0"/>
                <w:lang w:val="en-US"/>
              </w:rPr>
              <w:t xml:space="preserve"> (if applicable)</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pending</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 xml:space="preserve">Writing Intensive Form if course is intended to be a WIC (under development) </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Arial" w:hAnsi="Arial"/>
                <w:sz w:val="18"/>
                <w:szCs w:val="18"/>
                <w:rtl w:val="0"/>
                <w:lang w:val="en-US"/>
              </w:rPr>
              <w:t>n/a</w:t>
            </w:r>
          </w:p>
        </w:tc>
      </w:tr>
      <w:tr>
        <w:tblPrEx>
          <w:shd w:val="clear" w:color="auto" w:fill="ced7e7"/>
        </w:tblPrEx>
        <w:trPr>
          <w:trHeight w:val="5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sz w:val="20"/>
                <w:szCs w:val="20"/>
                <w:rtl w:val="0"/>
                <w:lang w:val="en-US"/>
              </w:rPr>
              <w:t>n/a</w:t>
            </w:r>
          </w:p>
        </w:tc>
      </w:tr>
      <w:tr>
        <w:tblPrEx>
          <w:shd w:val="clear" w:color="auto" w:fill="ced7e7"/>
        </w:tblPrEx>
        <w:trPr>
          <w:trHeight w:val="3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Calibri" w:cs="Calibri" w:hAnsi="Calibri" w:eastAsia="Calibri"/>
                <w:b w:val="1"/>
                <w:bCs w:val="1"/>
                <w:sz w:val="22"/>
                <w:szCs w:val="22"/>
                <w:rtl w:val="0"/>
                <w:lang w:val="en-US"/>
              </w:rPr>
              <w:t xml:space="preserve">(Additional materials for </w:t>
            </w:r>
            <w:r>
              <w:rPr>
                <w:rStyle w:val="Hyperlink.2"/>
                <w:rFonts w:ascii="Calibri" w:cs="Calibri" w:hAnsi="Calibri" w:eastAsia="Calibri"/>
                <w:b w:val="1"/>
                <w:bCs w:val="1"/>
                <w:sz w:val="22"/>
                <w:szCs w:val="22"/>
                <w:lang w:val="en-US"/>
              </w:rPr>
              <w:fldChar w:fldCharType="begin" w:fldLock="0"/>
            </w:r>
            <w:r>
              <w:rPr>
                <w:rStyle w:val="Hyperlink.2"/>
                <w:rFonts w:ascii="Calibri" w:cs="Calibri" w:hAnsi="Calibri" w:eastAsia="Calibri"/>
                <w:b w:val="1"/>
                <w:bCs w:val="1"/>
                <w:sz w:val="22"/>
                <w:szCs w:val="22"/>
                <w:lang w:val="en-US"/>
              </w:rPr>
              <w:instrText xml:space="preserve"> HYPERLINK "http://www.300jaystreet.com/college-council/curriculum_proposals/curricular-experiments"</w:instrText>
            </w:r>
            <w:r>
              <w:rPr>
                <w:rStyle w:val="Hyperlink.2"/>
                <w:rFonts w:ascii="Calibri" w:cs="Calibri" w:hAnsi="Calibri" w:eastAsia="Calibri"/>
                <w:b w:val="1"/>
                <w:bCs w:val="1"/>
                <w:sz w:val="22"/>
                <w:szCs w:val="22"/>
                <w:lang w:val="en-US"/>
              </w:rPr>
              <w:fldChar w:fldCharType="separate" w:fldLock="0"/>
            </w:r>
            <w:r>
              <w:rPr>
                <w:rStyle w:val="Hyperlink.2"/>
                <w:rFonts w:ascii="Calibri" w:cs="Calibri" w:hAnsi="Calibri" w:eastAsia="Calibri"/>
                <w:b w:val="1"/>
                <w:bCs w:val="1"/>
                <w:sz w:val="22"/>
                <w:szCs w:val="22"/>
                <w:rtl w:val="0"/>
                <w:lang w:val="en-US"/>
              </w:rPr>
              <w:t>Curricular Experiments</w:t>
            </w:r>
            <w:r>
              <w:rPr/>
              <w:fldChar w:fldCharType="end" w:fldLock="0"/>
            </w:r>
            <w:r>
              <w:rPr>
                <w:rStyle w:val="Hyperlink.2"/>
                <w:rFonts w:ascii="Calibri" w:cs="Calibri" w:hAnsi="Calibri" w:eastAsia="Calibri"/>
                <w:b w:val="1"/>
                <w:bCs w:val="1"/>
                <w:sz w:val="22"/>
                <w:szCs w:val="22"/>
                <w:rtl w:val="0"/>
                <w:lang w:val="en-US"/>
              </w:rPr>
              <w:t>)</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75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Established Timeline for Curricular Experiment</w:t>
            </w:r>
          </w:p>
        </w:tc>
        <w:tc>
          <w:tcPr>
            <w:tcW w:type="dxa" w:w="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324" w:hanging="324"/>
        <w:rPr>
          <w:rStyle w:val="None"/>
          <w:sz w:val="20"/>
          <w:szCs w:val="20"/>
        </w:rPr>
      </w:pPr>
    </w:p>
    <w:p>
      <w:pPr>
        <w:pStyle w:val="Body A"/>
        <w:widowControl w:val="0"/>
        <w:ind w:left="216" w:hanging="216"/>
        <w:rPr>
          <w:sz w:val="20"/>
          <w:szCs w:val="20"/>
        </w:rPr>
      </w:pPr>
    </w:p>
    <w:p>
      <w:pPr>
        <w:pStyle w:val="Body A"/>
        <w:rPr>
          <w:b w:val="1"/>
          <w:bCs w:val="1"/>
        </w:rPr>
      </w:pPr>
    </w:p>
    <w:p>
      <w:pPr>
        <w:pStyle w:val="Body A"/>
        <w:rPr>
          <w:b w:val="1"/>
          <w:bCs w:val="1"/>
        </w:rPr>
      </w:pPr>
    </w:p>
    <w:p>
      <w:pPr>
        <w:pStyle w:val="Body A A"/>
        <w:rPr>
          <w:rStyle w:val="None"/>
          <w:rFonts w:ascii="Cambria" w:cs="Cambria" w:hAnsi="Cambria" w:eastAsia="Cambria"/>
          <w:b w:val="1"/>
          <w:bCs w:val="1"/>
          <w:lang w:val="fr-FR"/>
        </w:rPr>
      </w:pPr>
      <w:r>
        <w:rPr>
          <w:rStyle w:val="None"/>
          <w:rFonts w:ascii="Cambria" w:cs="Cambria" w:hAnsi="Cambria" w:eastAsia="Cambria"/>
          <w:b w:val="1"/>
          <w:bCs w:val="1"/>
          <w:rtl w:val="0"/>
          <w:lang w:val="fr-FR"/>
        </w:rPr>
        <w:t>CHANCELLOR</w:t>
      </w:r>
      <w:r>
        <w:rPr>
          <w:rStyle w:val="None"/>
          <w:rFonts w:ascii="Cambria" w:cs="Cambria" w:hAnsi="Cambria" w:eastAsia="Cambria"/>
          <w:b w:val="1"/>
          <w:bCs w:val="1"/>
          <w:rtl w:val="0"/>
          <w:lang w:val="fr-FR"/>
        </w:rPr>
        <w:t>’</w:t>
      </w:r>
      <w:r>
        <w:rPr>
          <w:rStyle w:val="None"/>
          <w:rFonts w:ascii="Cambria" w:cs="Cambria" w:hAnsi="Cambria" w:eastAsia="Cambria"/>
          <w:b w:val="1"/>
          <w:bCs w:val="1"/>
          <w:rtl w:val="0"/>
          <w:lang w:val="fr-FR"/>
        </w:rPr>
        <w:t>S REPORT FORM</w:t>
      </w:r>
    </w:p>
    <w:p>
      <w:pPr>
        <w:pStyle w:val="Body A A"/>
        <w:rPr>
          <w:rStyle w:val="None"/>
          <w:rFonts w:ascii="Times New Roman" w:cs="Times New Roman" w:hAnsi="Times New Roman" w:eastAsia="Times New Roman"/>
          <w:b w:val="1"/>
          <w:bCs w:val="1"/>
          <w:lang w:val="fr-FR"/>
        </w:rPr>
      </w:pPr>
    </w:p>
    <w:tbl>
      <w:tblPr>
        <w:tblW w:w="8640" w:type="dxa"/>
        <w:jc w:val="left"/>
        <w:tblInd w:w="69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5"/>
        <w:gridCol w:w="6745"/>
      </w:tblGrid>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Department(s)</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Social Science</w:t>
            </w:r>
          </w:p>
        </w:tc>
      </w:tr>
      <w:tr>
        <w:tblPrEx>
          <w:shd w:val="clear" w:color="auto" w:fill="ced7e7"/>
        </w:tblPrEx>
        <w:trPr>
          <w:trHeight w:val="6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Academic Level</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center"/>
          </w:tcPr>
          <w:p>
            <w:pPr>
              <w:pStyle w:val="Body A A"/>
              <w:ind w:left="273" w:hanging="273"/>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w:t>
            </w:r>
            <w:r>
              <w:rPr>
                <w:rStyle w:val="None"/>
                <w:rFonts w:ascii="Times New Roman" w:hAnsi="Times New Roman" w:hint="default"/>
                <w:b w:val="1"/>
                <w:bCs w:val="1"/>
                <w:rtl w:val="0"/>
                <w:lang w:val="en-US"/>
              </w:rPr>
              <w:t> </w:t>
            </w:r>
            <w:r>
              <w:rPr>
                <w:rStyle w:val="None"/>
                <w:rFonts w:ascii="Times New Roman" w:hAnsi="Times New Roman"/>
                <w:b w:val="1"/>
                <w:bCs w:val="1"/>
                <w:rtl w:val="0"/>
                <w:lang w:val="en-US"/>
              </w:rPr>
              <w:t>] Regular</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Compensatory</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Developmental</w:t>
            </w:r>
            <w:r>
              <w:rPr>
                <w:rStyle w:val="None"/>
                <w:rFonts w:ascii="Times New Roman" w:hAnsi="Times New Roman" w:hint="default"/>
                <w:b w:val="1"/>
                <w:bCs w:val="1"/>
                <w:rtl w:val="0"/>
                <w:lang w:val="en-US"/>
              </w:rPr>
              <w:t> </w:t>
            </w:r>
          </w:p>
          <w:p>
            <w:pPr>
              <w:pStyle w:val="Body A A"/>
              <w:bidi w:val="0"/>
              <w:ind w:left="273" w:right="0" w:hanging="273"/>
              <w:jc w:val="left"/>
              <w:rPr>
                <w:rtl w:val="0"/>
              </w:rPr>
            </w:pP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Remedial</w:t>
            </w:r>
            <w:r>
              <w:rPr>
                <w:rStyle w:val="None"/>
                <w:rFonts w:ascii="Cambria" w:cs="Cambria" w:hAnsi="Cambria" w:eastAsia="Cambria"/>
                <w:b w:val="1"/>
                <w:bCs w:val="1"/>
                <w:rtl w:val="0"/>
                <w:lang w:val="en-US"/>
              </w:rPr>
              <w:t xml:space="preserve">   </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Subject Area</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Philosophy</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Course Prefix</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PHIL</w:t>
            </w:r>
          </w:p>
        </w:tc>
      </w:tr>
      <w:tr>
        <w:tblPrEx>
          <w:shd w:val="clear" w:color="auto" w:fill="ced7e7"/>
        </w:tblPrEx>
        <w:trPr>
          <w:trHeight w:val="6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Course Number</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2202</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Course Title</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Symbolic Logic</w:t>
            </w:r>
          </w:p>
        </w:tc>
      </w:tr>
      <w:tr>
        <w:tblPrEx>
          <w:shd w:val="clear" w:color="auto" w:fill="ced7e7"/>
        </w:tblPrEx>
        <w:trPr>
          <w:trHeight w:val="1496"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Catalog Description</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Symbolic Logic studies the operations and rules at work in arguments, as well as in some applications to mathematical proofs and computer programming. The course covers fundamental elements of propositional and quantificational logic, including translating English to symbolic logic, constructing truth tables, and applying rules for derivations.</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Prerequisite</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MAT 1190 or higher</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Corequisite</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N/A</w:t>
            </w:r>
          </w:p>
        </w:tc>
      </w:tr>
      <w:tr>
        <w:tblPrEx>
          <w:shd w:val="clear" w:color="auto" w:fill="ced7e7"/>
        </w:tblPrEx>
        <w:trPr>
          <w:trHeight w:val="6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Pre- or co-requisite</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N/A</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Credits</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3</w:t>
            </w:r>
          </w:p>
        </w:tc>
      </w:tr>
      <w:tr>
        <w:tblPrEx>
          <w:shd w:val="clear" w:color="auto" w:fill="ced7e7"/>
        </w:tblPrEx>
        <w:trPr>
          <w:trHeight w:val="65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Contact Hours</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3 class hours</w:t>
            </w:r>
          </w:p>
        </w:tc>
      </w:tr>
      <w:tr>
        <w:tblPrEx>
          <w:shd w:val="clear" w:color="auto" w:fill="ced7e7"/>
        </w:tblPrEx>
        <w:trPr>
          <w:trHeight w:val="3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Liberal Arts</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  X ] Yes</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No</w:t>
            </w:r>
            <w:r>
              <w:rPr>
                <w:rStyle w:val="None"/>
                <w:rFonts w:ascii="Cambria" w:cs="Cambria" w:hAnsi="Cambria" w:eastAsia="Cambria"/>
                <w:b w:val="1"/>
                <w:bCs w:val="1"/>
                <w:rtl w:val="0"/>
                <w:lang w:val="en-US"/>
              </w:rPr>
              <w:t xml:space="preserve">  </w:t>
            </w:r>
          </w:p>
        </w:tc>
      </w:tr>
      <w:tr>
        <w:tblPrEx>
          <w:shd w:val="clear" w:color="auto" w:fill="ced7e7"/>
        </w:tblPrEx>
        <w:trPr>
          <w:trHeight w:val="12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Course Attribute (e.g. Writing Intensive, etc)</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Interdisciplinary</w:t>
            </w:r>
          </w:p>
        </w:tc>
      </w:tr>
      <w:tr>
        <w:tblPrEx>
          <w:shd w:val="clear" w:color="auto" w:fill="ced7e7"/>
        </w:tblPrEx>
        <w:trPr>
          <w:trHeight w:val="367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Course Applicability</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rPr>
                <w:rStyle w:val="None"/>
                <w:rFonts w:ascii="Times New Roman" w:cs="Times New Roman" w:hAnsi="Times New Roman" w:eastAsia="Times New Roman"/>
                <w:b w:val="1"/>
                <w:bCs w:val="1"/>
                <w:lang w:val="en-US"/>
              </w:rPr>
            </w:pPr>
          </w:p>
          <w:p>
            <w:pPr>
              <w:pStyle w:val="Body A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Major</w:t>
              <w:tab/>
            </w:r>
          </w:p>
          <w:p>
            <w:pPr>
              <w:pStyle w:val="Body A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Gen Ed Required</w:t>
              <w:tab/>
              <w:t xml:space="preserve"> [   ] Gen Ed - Flexible</w:t>
              <w:tab/>
              <w:t>[  ] Gen Ed - College Option</w:t>
            </w:r>
          </w:p>
          <w:p>
            <w:pPr>
              <w:pStyle w:val="Body A A"/>
              <w:bidi w:val="0"/>
              <w:ind w:left="97"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English Composition</w:t>
              <w:tab/>
              <w:t>[  ] World Cultures</w:t>
              <w:tab/>
              <w:t>[  ] Speech</w:t>
            </w:r>
          </w:p>
          <w:p>
            <w:pPr>
              <w:pStyle w:val="Body A A"/>
              <w:bidi w:val="0"/>
              <w:ind w:left="97"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Mathematics</w:t>
              <w:tab/>
              <w:t>[  ] US Experience in its Diversity</w:t>
              <w:tab/>
              <w:t>[   ] Interdisciplinary</w:t>
            </w:r>
          </w:p>
          <w:p>
            <w:pPr>
              <w:pStyle w:val="Body A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Science</w:t>
              <w:tab/>
              <w:t>[  ] Creative Expression</w:t>
              <w:tab/>
              <w:t xml:space="preserve">  [  ] Advanced Liberal Arts</w:t>
            </w:r>
          </w:p>
          <w:p>
            <w:pPr>
              <w:pStyle w:val="Body A A"/>
              <w:bidi w:val="0"/>
              <w:ind w:left="288" w:right="0" w:firstLine="0"/>
              <w:jc w:val="left"/>
              <w:rPr>
                <w:rStyle w:val="None"/>
                <w:rFonts w:ascii="Times New Roman" w:cs="Times New Roman" w:hAnsi="Times New Roman" w:eastAsia="Times New Roman"/>
                <w:b w:val="1"/>
                <w:bCs w:val="1"/>
                <w:rtl w:val="0"/>
              </w:rPr>
            </w:pPr>
            <w:r>
              <w:rPr>
                <w:rStyle w:val="None"/>
                <w:rFonts w:ascii="Times New Roman" w:cs="Times New Roman" w:hAnsi="Times New Roman" w:eastAsia="Times New Roman"/>
                <w:b w:val="1"/>
                <w:bCs w:val="1"/>
                <w:rtl w:val="0"/>
                <w:lang w:val="en-US"/>
              </w:rPr>
              <w:tab/>
              <w:t>[  ] Individual and Society</w:t>
              <w:tab/>
            </w:r>
          </w:p>
          <w:p>
            <w:pPr>
              <w:pStyle w:val="Body A A"/>
              <w:bidi w:val="0"/>
              <w:ind w:left="288" w:right="0" w:firstLine="0"/>
              <w:jc w:val="left"/>
              <w:rPr>
                <w:rStyle w:val="None"/>
                <w:rFonts w:ascii="Times New Roman" w:cs="Times New Roman" w:hAnsi="Times New Roman" w:eastAsia="Times New Roman"/>
                <w:b w:val="1"/>
                <w:bCs w:val="1"/>
                <w:rtl w:val="0"/>
              </w:rPr>
            </w:pPr>
            <w:r>
              <w:rPr>
                <w:rStyle w:val="None"/>
                <w:rFonts w:ascii="Times New Roman" w:cs="Times New Roman" w:hAnsi="Times New Roman" w:eastAsia="Times New Roman"/>
                <w:b w:val="1"/>
                <w:bCs w:val="1"/>
                <w:rtl w:val="0"/>
                <w:lang w:val="en-US"/>
              </w:rPr>
              <w:tab/>
              <w:t>[ X] Scientific World</w:t>
              <w:tab/>
            </w:r>
          </w:p>
          <w:p>
            <w:pPr>
              <w:pStyle w:val="Body A A"/>
              <w:bidi w:val="0"/>
              <w:ind w:left="720" w:right="0" w:firstLine="0"/>
              <w:jc w:val="left"/>
              <w:rPr>
                <w:rtl w:val="0"/>
              </w:rPr>
            </w:pPr>
            <w:r>
              <w:rPr>
                <w:rStyle w:val="None"/>
                <w:rFonts w:ascii="Cambria" w:cs="Cambria" w:hAnsi="Cambria" w:eastAsia="Cambria"/>
                <w:b w:val="1"/>
                <w:bCs w:val="1"/>
                <w:rtl w:val="0"/>
                <w:lang w:val="en-US"/>
              </w:rPr>
              <w:t xml:space="preserve"> </w:t>
            </w:r>
          </w:p>
        </w:tc>
      </w:tr>
      <w:tr>
        <w:tblPrEx>
          <w:shd w:val="clear" w:color="auto" w:fill="ced7e7"/>
        </w:tblPrEx>
        <w:trPr>
          <w:trHeight w:val="650" w:hRule="atLeast"/>
        </w:trPr>
        <w:tc>
          <w:tcPr>
            <w:tcW w:type="dxa" w:w="1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Fonts w:ascii="Cambria" w:cs="Cambria" w:hAnsi="Cambria" w:eastAsia="Cambria"/>
                <w:b w:val="1"/>
                <w:bCs w:val="1"/>
                <w:rtl w:val="0"/>
                <w:lang w:val="en-US"/>
              </w:rPr>
              <w:t>Effective Term</w:t>
            </w:r>
          </w:p>
        </w:tc>
        <w:tc>
          <w:tcPr>
            <w:tcW w:type="dxa" w:w="6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rStyle w:val="None"/>
                <w:rtl w:val="0"/>
                <w:lang w:val="en-US"/>
              </w:rPr>
              <w:t>Spring 2020</w:t>
            </w:r>
          </w:p>
        </w:tc>
      </w:tr>
    </w:tbl>
    <w:p>
      <w:pPr>
        <w:pStyle w:val="Body A A"/>
        <w:widowControl w:val="0"/>
        <w:ind w:left="589" w:hanging="589"/>
        <w:rPr>
          <w:rStyle w:val="None"/>
          <w:rFonts w:ascii="Times New Roman" w:cs="Times New Roman" w:hAnsi="Times New Roman" w:eastAsia="Times New Roman"/>
          <w:b w:val="1"/>
          <w:bCs w:val="1"/>
          <w:lang w:val="fr-FR"/>
        </w:rPr>
      </w:pPr>
    </w:p>
    <w:p>
      <w:pPr>
        <w:pStyle w:val="Body A A"/>
        <w:widowControl w:val="0"/>
        <w:ind w:left="481" w:hanging="481"/>
        <w:rPr>
          <w:rStyle w:val="None"/>
          <w:rFonts w:ascii="Times New Roman" w:cs="Times New Roman" w:hAnsi="Times New Roman" w:eastAsia="Times New Roman"/>
          <w:b w:val="1"/>
          <w:bCs w:val="1"/>
          <w:lang w:val="fr-FR"/>
        </w:rPr>
      </w:pPr>
    </w:p>
    <w:p>
      <w:pPr>
        <w:pStyle w:val="Body A A"/>
        <w:widowControl w:val="0"/>
        <w:ind w:left="373" w:hanging="373"/>
        <w:rPr>
          <w:rStyle w:val="None"/>
          <w:rFonts w:ascii="Times New Roman" w:cs="Times New Roman" w:hAnsi="Times New Roman" w:eastAsia="Times New Roman"/>
          <w:b w:val="1"/>
          <w:bCs w:val="1"/>
          <w:lang w:val="fr-FR"/>
        </w:rPr>
      </w:pPr>
    </w:p>
    <w:p>
      <w:pPr>
        <w:pStyle w:val="Body A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it-IT"/>
        </w:rPr>
        <w:t xml:space="preserve">Rationale: </w:t>
      </w:r>
      <w:r>
        <w:rPr>
          <w:rStyle w:val="None"/>
          <w:rtl w:val="0"/>
          <w:lang w:val="en-US"/>
        </w:rPr>
        <w:t xml:space="preserve">Symbolic Logic studies the underlying patterns of thought, proofs and argumentation. It can be used to analyze natural language in its basic operations, as well as assess arguments for validity and soundness. Propositional logic studies operations similar to what computer programmers call </w:t>
      </w:r>
      <w:r>
        <w:rPr>
          <w:rStyle w:val="None"/>
          <w:rtl w:val="0"/>
          <w:lang w:val="en-US"/>
        </w:rPr>
        <w:t>“</w:t>
      </w:r>
      <w:r>
        <w:rPr>
          <w:rStyle w:val="None"/>
          <w:rtl w:val="0"/>
          <w:lang w:val="en-US"/>
        </w:rPr>
        <w:t>Boolean</w:t>
      </w:r>
      <w:r>
        <w:rPr>
          <w:rStyle w:val="None"/>
          <w:rtl w:val="0"/>
          <w:lang w:val="en-US"/>
        </w:rPr>
        <w:t>”</w:t>
      </w:r>
      <w:r>
        <w:rPr>
          <w:rStyle w:val="None"/>
          <w:rtl w:val="0"/>
          <w:lang w:val="en-US"/>
        </w:rPr>
        <w:t>. Rules of implication and derivation are also introduced. Predicate logic introduces additional operations governing variables and constants. Logic uses a binary system of truth and falsehood to assess valid arguments and pathways much in the way computer programmers or electrical engineers use 1</w:t>
      </w:r>
      <w:r>
        <w:rPr>
          <w:rStyle w:val="None"/>
          <w:rtl w:val="0"/>
          <w:lang w:val="en-US"/>
        </w:rPr>
        <w:t>’</w:t>
      </w:r>
      <w:r>
        <w:rPr>
          <w:rStyle w:val="None"/>
          <w:rtl w:val="0"/>
          <w:lang w:val="en-US"/>
        </w:rPr>
        <w:t>s and 0</w:t>
      </w:r>
      <w:r>
        <w:rPr>
          <w:rStyle w:val="None"/>
          <w:rtl w:val="0"/>
          <w:lang w:val="en-US"/>
        </w:rPr>
        <w:t>’</w:t>
      </w:r>
      <w:r>
        <w:rPr>
          <w:rStyle w:val="None"/>
          <w:rtl w:val="0"/>
          <w:lang w:val="en-US"/>
        </w:rPr>
        <w:t>s. The course will be required in the new Data Analytics program in Economics. It will also be developed as an interdisciplinary course with interest from faculty from Math, CST, and CET (see email correspondences on page 20). As such, it will serve Baccalaureate students, and is especially suitable for students in applied math programs, as well as in Technology and Design programs.</w:t>
      </w:r>
    </w:p>
    <w:p>
      <w:pPr>
        <w:pStyle w:val="Body A"/>
        <w:rPr>
          <w:rStyle w:val="None"/>
          <w:rFonts w:ascii="Times New Roman" w:cs="Times New Roman" w:hAnsi="Times New Roman" w:eastAsia="Times New Roman"/>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Style w:val="None"/>
          <w:rFonts w:ascii="Cambria" w:cs="Cambria" w:hAnsi="Cambria" w:eastAsia="Cambria"/>
          <w:b w:val="1"/>
          <w:bCs w:val="1"/>
          <w:rtl w:val="0"/>
          <w:lang w:val="en-US"/>
        </w:rPr>
        <w:t>Course Need Assessment</w:t>
      </w:r>
    </w:p>
    <w:p>
      <w:pPr>
        <w:pStyle w:val="Body A"/>
      </w:pPr>
      <w:r>
        <w:rPr>
          <w:rtl w:val="0"/>
        </w:rPr>
        <w:t>PHIL2202</w:t>
      </w:r>
    </w:p>
    <w:p>
      <w:pPr>
        <w:pStyle w:val="Body A"/>
      </w:pPr>
      <w:r>
        <w:rPr>
          <w:rtl w:val="0"/>
        </w:rPr>
        <w:t>Symbolic Logic</w:t>
      </w:r>
    </w:p>
    <w:p>
      <w:pPr>
        <w:pStyle w:val="Body A"/>
        <w:rPr>
          <w:rStyle w:val="None"/>
          <w:rFonts w:ascii="Times New Roman" w:cs="Times New Roman" w:hAnsi="Times New Roman" w:eastAsia="Times New Roman"/>
        </w:rPr>
      </w:pPr>
    </w:p>
    <w:p>
      <w:pPr>
        <w:pStyle w:val="Body A"/>
      </w:pPr>
      <w:r>
        <w:rPr>
          <w:rStyle w:val="None"/>
          <w:rFonts w:ascii="Cambria" w:cs="Cambria" w:hAnsi="Cambria" w:eastAsia="Cambria"/>
          <w:b w:val="1"/>
          <w:bCs w:val="1"/>
          <w:rtl w:val="0"/>
          <w:lang w:val="en-US"/>
        </w:rPr>
        <w:t>Target Students</w:t>
      </w:r>
      <w:r>
        <w:rPr>
          <w:rtl w:val="0"/>
        </w:rPr>
        <w:t>:</w:t>
      </w:r>
    </w:p>
    <w:p>
      <w:pPr>
        <w:pStyle w:val="Body A"/>
        <w:rPr>
          <w:rStyle w:val="None"/>
          <w:rFonts w:ascii="Times New Roman" w:cs="Times New Roman" w:hAnsi="Times New Roman" w:eastAsia="Times New Roman"/>
        </w:rPr>
      </w:pPr>
    </w:p>
    <w:p>
      <w:pPr>
        <w:pStyle w:val="Body A"/>
      </w:pPr>
      <w:r>
        <w:rPr>
          <w:rtl w:val="0"/>
        </w:rPr>
        <w:t>Target students include students in the future Data Analytics program in Economics in which this course will be required. As an Interdisciplinary course, it will also attract Baccalaureate students in the college and in particular students from the applied math programs (math education and mathematics and statistics), Engineering programs, as well as students in Computer Information services and support services program. If you take the total number of Baccalaureate students that completed degrees as of 2017 in these programs, the count was 443 students.* Mathematics Prof. Jonas Reitz, who originally developed this course as an Interdisciplinary course with myself believed it to be ideally suited to applied Math majors. Given the limited offerings of Interdisciplinary courses in general, and those specifically addressing the technology fields, these facts lead me to believe that the course would be in demand in the Technology and Design programs as well.</w:t>
      </w:r>
    </w:p>
    <w:p>
      <w:pPr>
        <w:pStyle w:val="Body A"/>
        <w:rPr>
          <w:rStyle w:val="None"/>
          <w:rFonts w:ascii="Times New Roman" w:cs="Times New Roman" w:hAnsi="Times New Roman" w:eastAsia="Times New Roman"/>
        </w:rPr>
      </w:pPr>
    </w:p>
    <w:p>
      <w:pPr>
        <w:pStyle w:val="Body A"/>
      </w:pPr>
      <w:r>
        <w:rPr>
          <w:rtl w:val="0"/>
        </w:rPr>
        <w:t>It would also be available as an elective for other programs.</w:t>
      </w:r>
    </w:p>
    <w:p>
      <w:pPr>
        <w:pStyle w:val="Body A"/>
        <w:rPr>
          <w:rStyle w:val="None"/>
          <w:rFonts w:ascii="Times New Roman" w:cs="Times New Roman" w:hAnsi="Times New Roman" w:eastAsia="Times New Roman"/>
        </w:rPr>
      </w:pPr>
    </w:p>
    <w:p>
      <w:pPr>
        <w:pStyle w:val="Body A"/>
        <w:rPr>
          <w:rStyle w:val="None"/>
          <w:lang w:val="fr-FR"/>
        </w:rPr>
      </w:pPr>
      <w:r>
        <w:rPr>
          <w:rStyle w:val="None"/>
          <w:rFonts w:ascii="Cambria" w:cs="Cambria" w:hAnsi="Cambria" w:eastAsia="Cambria"/>
          <w:b w:val="1"/>
          <w:bCs w:val="1"/>
          <w:rtl w:val="0"/>
          <w:lang w:val="fr-FR"/>
        </w:rPr>
        <w:t>Course Rationale:</w:t>
      </w:r>
    </w:p>
    <w:p>
      <w:pPr>
        <w:pStyle w:val="Body A"/>
        <w:rPr>
          <w:rStyle w:val="None"/>
          <w:rFonts w:ascii="Times New Roman" w:cs="Times New Roman" w:hAnsi="Times New Roman" w:eastAsia="Times New Roman"/>
        </w:rPr>
      </w:pPr>
    </w:p>
    <w:p>
      <w:pPr>
        <w:pStyle w:val="Body A"/>
      </w:pPr>
      <w:r>
        <w:rPr>
          <w:rtl w:val="0"/>
        </w:rPr>
        <w:t xml:space="preserve">Symbolic Logic studies the underlying patterns of thought, proofs and argumentation. It can be used to analyze natural language in its basic operations, as well as assess arguments for validity and soundness. Propositional logic studies operations similar to what computer programmers call </w:t>
      </w:r>
      <w:r>
        <w:rPr>
          <w:rtl w:val="0"/>
        </w:rPr>
        <w:t>“</w:t>
      </w:r>
      <w:r>
        <w:rPr>
          <w:rtl w:val="0"/>
        </w:rPr>
        <w:t>Boolean</w:t>
      </w:r>
      <w:r>
        <w:rPr>
          <w:rtl w:val="0"/>
        </w:rPr>
        <w:t>”</w:t>
      </w:r>
      <w:r>
        <w:rPr>
          <w:rtl w:val="0"/>
        </w:rPr>
        <w:t>. Rules of implication and derivation are also introduced. Predicate logic introduces additional operations governing variables and constants. Logic uses a binary system of truth and falsehood to assess valid arguments and pathways much in the way computer programmers or electrical engineers use 1</w:t>
      </w:r>
      <w:r>
        <w:rPr>
          <w:rtl w:val="0"/>
        </w:rPr>
        <w:t>’</w:t>
      </w:r>
      <w:r>
        <w:rPr>
          <w:rtl w:val="0"/>
        </w:rPr>
        <w:t>s and 0</w:t>
      </w:r>
      <w:r>
        <w:rPr>
          <w:rtl w:val="0"/>
        </w:rPr>
        <w:t>’</w:t>
      </w:r>
      <w:r>
        <w:rPr>
          <w:rtl w:val="0"/>
        </w:rPr>
        <w:t>s. The course will be required in the new Data Analytics program in Economics. It will also be developed as an interdisciplinary course with interest from faculty from Math, CST, and CET (see email correspondences on page 20). As such, it will serve Baccalaureate students, and is especially suitable for students in applied math programs, as well as in Technology and Design programs.</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pPr>
      <w:r>
        <w:rPr>
          <w:rtl w:val="0"/>
        </w:rPr>
        <w:t>*From the Office of Assessment and Institutional Data at City Tech: https://nces.ed.gov/collegenavigator/?s=NY&amp;zc=11201&amp;zd=0&amp;of=3&amp;ct=1&amp;ic=1&amp;id=190655#programs</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jc w:val="both"/>
      </w:pPr>
    </w:p>
    <w:p>
      <w:pPr>
        <w:pStyle w:val="Body A"/>
        <w:jc w:val="both"/>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Symbolic Logic Course Outline</w:t>
      </w:r>
    </w:p>
    <w:p>
      <w:pPr>
        <w:pStyle w:val="Body A"/>
        <w:jc w:val="center"/>
        <w:rPr>
          <w:rStyle w:val="None"/>
          <w:rFonts w:ascii="Times New Roman" w:cs="Times New Roman" w:hAnsi="Times New Roman" w:eastAsia="Times New Roman"/>
        </w:rPr>
      </w:pPr>
    </w:p>
    <w:p>
      <w:pPr>
        <w:pStyle w:val="Body A"/>
        <w:jc w:val="center"/>
        <w:rPr>
          <w:rStyle w:val="None"/>
          <w:rFonts w:ascii="Times New Roman" w:cs="Times New Roman" w:hAnsi="Times New Roman" w:eastAsia="Times New Roman"/>
        </w:rPr>
      </w:pPr>
    </w:p>
    <w:p>
      <w:pPr>
        <w:pStyle w:val="Body A"/>
        <w:jc w:val="center"/>
      </w:pPr>
      <w:r>
        <w:rPr>
          <w:rtl w:val="0"/>
          <w:lang w:val="en-US"/>
        </w:rPr>
        <w:t>New York City College of Technology</w:t>
      </w:r>
    </w:p>
    <w:p>
      <w:pPr>
        <w:pStyle w:val="Body A"/>
        <w:jc w:val="center"/>
      </w:pPr>
      <w:r>
        <w:rPr>
          <w:rtl w:val="0"/>
          <w:lang w:val="en-US"/>
        </w:rPr>
        <w:t xml:space="preserve">Social Science Department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Heading 2"/>
        <w:tabs>
          <w:tab w:val="left" w:pos="2880"/>
          <w:tab w:val="right" w:pos="4320"/>
          <w:tab w:val="left" w:pos="4500"/>
          <w:tab w:val="right" w:pos="5580"/>
          <w:tab w:val="left" w:pos="5850"/>
          <w:tab w:val="left" w:pos="7560"/>
          <w:tab w:val="left" w:pos="8140"/>
          <w:tab w:val="right" w:pos="8620"/>
        </w:tabs>
      </w:pPr>
      <w:r>
        <w:rPr>
          <w:rtl w:val="0"/>
        </w:rPr>
        <w:t>COURSE CODE: PHIL2202</w:t>
      </w:r>
    </w:p>
    <w:p>
      <w:pPr>
        <w:pStyle w:val="Heading 2"/>
        <w:tabs>
          <w:tab w:val="left" w:pos="2880"/>
          <w:tab w:val="right" w:pos="4320"/>
          <w:tab w:val="left" w:pos="4500"/>
          <w:tab w:val="right" w:pos="5580"/>
          <w:tab w:val="left" w:pos="5850"/>
          <w:tab w:val="left" w:pos="7560"/>
          <w:tab w:val="left" w:pos="8140"/>
          <w:tab w:val="right" w:pos="8620"/>
        </w:tabs>
      </w:pPr>
      <w:r>
        <w:rPr>
          <w:rtl w:val="0"/>
          <w:lang w:val="en-US"/>
        </w:rPr>
        <w:t>TITLE: Symbolic Logic</w:t>
      </w:r>
    </w:p>
    <w:p>
      <w:pPr>
        <w:pStyle w:val="Heading 2"/>
        <w:tabs>
          <w:tab w:val="left" w:pos="2880"/>
          <w:tab w:val="right" w:pos="4320"/>
          <w:tab w:val="left" w:pos="4500"/>
          <w:tab w:val="right" w:pos="5580"/>
          <w:tab w:val="left" w:pos="5850"/>
          <w:tab w:val="left" w:pos="7560"/>
          <w:tab w:val="left" w:pos="8140"/>
          <w:tab w:val="right" w:pos="8620"/>
        </w:tabs>
      </w:pPr>
      <w:r>
        <w:rPr>
          <w:rtl w:val="0"/>
          <w:lang w:val="en-US"/>
        </w:rPr>
        <w:t xml:space="preserve">Number of class hours, lab hours if applicable, credits </w:t>
      </w:r>
    </w:p>
    <w:p>
      <w:pPr>
        <w:pStyle w:val="Body A"/>
      </w:pPr>
      <w:r>
        <w:rPr>
          <w:rtl w:val="0"/>
        </w:rPr>
        <w:t>3 credits, 3 hours</w:t>
      </w: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pPr>
      <w:r>
        <w:rPr>
          <w:rtl w:val="0"/>
        </w:rPr>
        <w:t>COURSE DESCRIPTION:</w:t>
      </w:r>
    </w:p>
    <w:p>
      <w:pPr>
        <w:pStyle w:val="Body A"/>
        <w:rPr>
          <w:rStyle w:val="None"/>
          <w:rFonts w:ascii="Times New Roman" w:cs="Times New Roman" w:hAnsi="Times New Roman" w:eastAsia="Times New Roman"/>
        </w:rPr>
      </w:pPr>
    </w:p>
    <w:p>
      <w:pPr>
        <w:pStyle w:val="Body A"/>
      </w:pPr>
      <w:r>
        <w:rPr>
          <w:rStyle w:val="None"/>
          <w:sz w:val="22"/>
          <w:szCs w:val="22"/>
          <w:rtl w:val="0"/>
          <w:lang w:val="en-US"/>
        </w:rPr>
        <w:t>Symbolic Logic studies the operations and rules at work in arguments, as well as in some applications to mathematical proofs and computer programming. The course covers fundamental elements of propositional and quantificational logic, including translating English to symbolic logic, constructing truth tables, and applying rules for derivations.</w:t>
      </w: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pPr>
      <w:r>
        <w:rPr>
          <w:rtl w:val="0"/>
        </w:rPr>
        <w:t>COURSE CO/PREREQUISITE (S):</w:t>
      </w:r>
    </w:p>
    <w:p>
      <w:pPr>
        <w:pStyle w:val="Body A"/>
        <w:rPr>
          <w:rStyle w:val="None"/>
          <w:rFonts w:ascii="Times New Roman" w:cs="Times New Roman" w:hAnsi="Times New Roman" w:eastAsia="Times New Roman"/>
        </w:rPr>
      </w:pPr>
    </w:p>
    <w:p>
      <w:pPr>
        <w:pStyle w:val="Body A"/>
      </w:pPr>
      <w:r>
        <w:rPr>
          <w:rtl w:val="0"/>
        </w:rPr>
        <w:t>MAT 1190 or higher</w:t>
      </w:r>
    </w:p>
    <w:p>
      <w:pPr>
        <w:pStyle w:val="Body A"/>
        <w:rPr>
          <w:rStyle w:val="None"/>
          <w:rFonts w:ascii="Times New Roman" w:cs="Times New Roman" w:hAnsi="Times New Roman" w:eastAsia="Times New Roman"/>
        </w:rPr>
      </w:pP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pPr>
      <w:r>
        <w:rPr>
          <w:rtl w:val="0"/>
        </w:rPr>
        <w:t xml:space="preserve">RECOMMENDED/TYPICAL/REQUIRED TEXTBOOK (S) and/or MATERIALS* </w:t>
      </w:r>
    </w:p>
    <w:p>
      <w:pPr>
        <w:pStyle w:val="Body A"/>
        <w:rPr>
          <w:rStyle w:val="None"/>
          <w:rFonts w:ascii="Times New Roman" w:cs="Times New Roman" w:hAnsi="Times New Roman" w:eastAsia="Times New Roman"/>
        </w:rPr>
      </w:pPr>
    </w:p>
    <w:p>
      <w:pPr>
        <w:pStyle w:val="Body A"/>
      </w:pPr>
      <w:bookmarkStart w:name="Text13" w:id="0"/>
      <w:r>
        <w:rPr>
          <w:rtl w:val="0"/>
        </w:rPr>
        <w:t xml:space="preserve">Patrick J. Hurley, </w:t>
      </w:r>
      <w:r>
        <w:rPr>
          <w:rStyle w:val="None"/>
          <w:rFonts w:ascii="Cambria" w:cs="Cambria" w:hAnsi="Cambria" w:eastAsia="Cambria"/>
          <w:i w:val="1"/>
          <w:iCs w:val="1"/>
          <w:rtl w:val="0"/>
          <w:lang w:val="en-US"/>
        </w:rPr>
        <w:t>A Concise Introduction to Logic</w:t>
      </w:r>
      <w:r>
        <w:rPr>
          <w:rtl w:val="0"/>
        </w:rPr>
        <w:t>, 12</w:t>
      </w:r>
      <w:r>
        <w:rPr>
          <w:rStyle w:val="None"/>
          <w:vertAlign w:val="superscript"/>
          <w:rtl w:val="0"/>
          <w:lang w:val="en-US"/>
        </w:rPr>
        <w:t>th</w:t>
      </w:r>
      <w:r>
        <w:rPr>
          <w:rtl w:val="0"/>
        </w:rPr>
        <w:t xml:space="preserve"> Edition (Belmont: Thomson Wadsworth Publishers, 2014). </w:t>
      </w:r>
      <w:bookmarkEnd w:id="0"/>
    </w:p>
    <w:p>
      <w:pPr>
        <w:pStyle w:val="Body A"/>
        <w:rPr>
          <w:rStyle w:val="None"/>
          <w:rFonts w:ascii="Times New Roman" w:cs="Times New Roman" w:hAnsi="Times New Roman" w:eastAsia="Times New Roman"/>
        </w:rPr>
      </w:pP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sz w:val="28"/>
          <w:szCs w:val="28"/>
        </w:rPr>
      </w:pPr>
      <w:r>
        <w:rPr>
          <w:rtl w:val="0"/>
        </w:rPr>
        <w:t xml:space="preserve">SAMPLE SEQUENCE OF TOPICS AND TIME ALLOCATIONS </w:t>
      </w:r>
    </w:p>
    <w:p>
      <w:pPr>
        <w:pStyle w:val="Body A"/>
        <w:rPr>
          <w:rStyle w:val="None"/>
          <w:rFonts w:ascii="Times New Roman" w:cs="Times New Roman" w:hAnsi="Times New Roman" w:eastAsia="Times New Roman"/>
          <w:sz w:val="28"/>
          <w:szCs w:val="28"/>
        </w:rPr>
      </w:pPr>
    </w:p>
    <w:p>
      <w:pPr>
        <w:pStyle w:val="Body A"/>
        <w:rPr>
          <w:rStyle w:val="None"/>
          <w:rFonts w:ascii="Times New Roman" w:cs="Times New Roman" w:hAnsi="Times New Roman" w:eastAsia="Times New Roman"/>
          <w:sz w:val="28"/>
          <w:szCs w:val="28"/>
        </w:rPr>
      </w:pPr>
    </w:p>
    <w:p>
      <w:pPr>
        <w:pStyle w:val="Body A"/>
      </w:pPr>
      <w:r>
        <w:rPr>
          <w:rStyle w:val="None"/>
          <w:rFonts w:ascii="Cambria" w:cs="Cambria" w:hAnsi="Cambria" w:eastAsia="Cambria"/>
          <w:b w:val="1"/>
          <w:bCs w:val="1"/>
          <w:rtl w:val="0"/>
          <w:lang w:val="nl-NL"/>
        </w:rPr>
        <w:t xml:space="preserve">Week 1 </w:t>
      </w:r>
      <w:r>
        <w:rPr>
          <w:rStyle w:val="None"/>
          <w:rtl w:val="0"/>
          <w:lang w:val="en-US"/>
        </w:rPr>
        <w:t>T</w:t>
      </w:r>
      <w:r>
        <w:rPr>
          <w:rStyle w:val="None"/>
          <w:rFonts w:ascii="Cambria" w:cs="Cambria" w:hAnsi="Cambria" w:eastAsia="Cambria"/>
          <w:b w:val="1"/>
          <w:bCs w:val="1"/>
          <w:rtl w:val="0"/>
          <w:lang w:val="en-US"/>
        </w:rPr>
        <w:t>he Language of Logic</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chapter 1 and do the following exercises: Section 1.1: 6-14; section 1.2: part I - 2-17, part II </w:t>
      </w:r>
      <w:r>
        <w:rPr>
          <w:rFonts w:ascii="Times New Roman" w:hAnsi="Times New Roman" w:hint="default"/>
          <w:rtl w:val="0"/>
          <w:lang w:val="en-US"/>
        </w:rPr>
        <w:t xml:space="preserve">– </w:t>
      </w:r>
      <w:r>
        <w:rPr>
          <w:rFonts w:ascii="Times New Roman" w:hAnsi="Times New Roman"/>
          <w:rtl w:val="0"/>
          <w:lang w:val="en-US"/>
        </w:rPr>
        <w:t xml:space="preserve">4,5 and part III </w:t>
      </w:r>
      <w:r>
        <w:rPr>
          <w:rFonts w:ascii="Times New Roman" w:hAnsi="Times New Roman" w:hint="default"/>
          <w:rtl w:val="0"/>
          <w:lang w:val="en-US"/>
        </w:rPr>
        <w:t xml:space="preserve">– </w:t>
      </w:r>
      <w:r>
        <w:rPr>
          <w:rFonts w:ascii="Times New Roman" w:hAnsi="Times New Roman"/>
          <w:rtl w:val="0"/>
          <w:lang w:val="en-US"/>
        </w:rPr>
        <w:t xml:space="preserve">all; section 1.3: part I: all; section 1.4: parts I-III </w:t>
      </w:r>
      <w:r>
        <w:rPr>
          <w:rFonts w:ascii="Times New Roman" w:hAnsi="Times New Roman" w:hint="default"/>
          <w:rtl w:val="0"/>
          <w:lang w:val="en-US"/>
        </w:rPr>
        <w:t xml:space="preserve">– </w:t>
      </w:r>
      <w:r>
        <w:rPr>
          <w:rFonts w:ascii="Times New Roman" w:hAnsi="Times New Roman"/>
          <w:rtl w:val="0"/>
          <w:lang w:val="en-US"/>
        </w:rPr>
        <w:t>all.</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Identify and understand what an argument is, including which are inductive and deductive arguments, as well as what makes arguments valid or invalid. Understand the purpose of learning a symbolic language.</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2 Categorical Propositions, Immediate Inferences and Venn Diagrams</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4.1, 4.2, and 4.3 and do the following exercises: section 4.1: all; section 4.2: 4-8; section 4.3: parts I and II </w:t>
      </w:r>
      <w:r>
        <w:rPr>
          <w:rFonts w:ascii="Times New Roman" w:hAnsi="Times New Roman" w:hint="default"/>
          <w:rtl w:val="0"/>
          <w:lang w:val="en-US"/>
        </w:rPr>
        <w:t xml:space="preserve">– </w:t>
      </w:r>
      <w:r>
        <w:rPr>
          <w:rFonts w:ascii="Times New Roman" w:hAnsi="Times New Roman"/>
          <w:rtl w:val="0"/>
          <w:lang w:val="en-US"/>
        </w:rPr>
        <w:t>all.</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Identify and understand what a categorical proposition and syllogism is, as well as how to assess the validity and invalidity of categorical syllogistic forms using the Venn diagram in the modern point of view.</w:t>
      </w:r>
    </w:p>
    <w:p>
      <w:pPr>
        <w:pStyle w:val="Body A"/>
        <w:ind w:left="2520" w:firstLine="0"/>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3 Categorical Propositions, Immediate Inferences, and Operations</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4.4, 4.5, and 4.6 and do the following exercises: section 4.4: parts I and II </w:t>
      </w:r>
      <w:r>
        <w:rPr>
          <w:rFonts w:ascii="Times New Roman" w:hAnsi="Times New Roman" w:hint="default"/>
          <w:rtl w:val="0"/>
          <w:lang w:val="en-US"/>
        </w:rPr>
        <w:t xml:space="preserve">– </w:t>
      </w:r>
      <w:r>
        <w:rPr>
          <w:rFonts w:ascii="Times New Roman" w:hAnsi="Times New Roman"/>
          <w:rtl w:val="0"/>
          <w:lang w:val="en-US"/>
        </w:rPr>
        <w:t xml:space="preserve">all, part II: 1-6; section 4.5: part I </w:t>
      </w:r>
      <w:r>
        <w:rPr>
          <w:rFonts w:ascii="Times New Roman" w:hAnsi="Times New Roman" w:hint="default"/>
          <w:rtl w:val="0"/>
          <w:lang w:val="en-US"/>
        </w:rPr>
        <w:t xml:space="preserve">– </w:t>
      </w:r>
      <w:r>
        <w:rPr>
          <w:rFonts w:ascii="Times New Roman" w:hAnsi="Times New Roman"/>
          <w:rtl w:val="0"/>
          <w:lang w:val="en-US"/>
        </w:rPr>
        <w:t xml:space="preserve">3-8, parts II and III </w:t>
      </w:r>
      <w:r>
        <w:rPr>
          <w:rFonts w:ascii="Times New Roman" w:hAnsi="Times New Roman" w:hint="default"/>
          <w:rtl w:val="0"/>
          <w:lang w:val="en-US"/>
        </w:rPr>
        <w:t xml:space="preserve">– </w:t>
      </w:r>
      <w:r>
        <w:rPr>
          <w:rFonts w:ascii="Times New Roman" w:hAnsi="Times New Roman"/>
          <w:rtl w:val="0"/>
          <w:lang w:val="en-US"/>
        </w:rPr>
        <w:t>1-10.</w:t>
      </w:r>
    </w:p>
    <w:p>
      <w:pPr>
        <w:pStyle w:val="Body A"/>
        <w:numPr>
          <w:ilvl w:val="0"/>
          <w:numId w:val="7"/>
        </w:numPr>
        <w:bidi w:val="0"/>
        <w:ind w:right="0"/>
        <w:jc w:val="left"/>
        <w:rPr>
          <w:rFonts w:ascii="Times New Roman" w:hAnsi="Times New Roman"/>
          <w:b w:val="1"/>
          <w:bCs w:val="1"/>
          <w:rtl w:val="0"/>
          <w:lang w:val="en-US"/>
        </w:rPr>
      </w:pPr>
      <w:r>
        <w:rPr>
          <w:rStyle w:val="None"/>
          <w:rFonts w:ascii="Times New Roman" w:hAnsi="Times New Roman"/>
          <w:b w:val="0"/>
          <w:bCs w:val="0"/>
          <w:i w:val="1"/>
          <w:iCs w:val="1"/>
          <w:rtl w:val="0"/>
          <w:lang w:val="en-US"/>
        </w:rPr>
        <w:t xml:space="preserve">Learning Objective:  </w:t>
      </w:r>
      <w:r>
        <w:rPr>
          <w:rStyle w:val="None"/>
          <w:rFonts w:ascii="Times New Roman" w:hAnsi="Times New Roman"/>
          <w:b w:val="0"/>
          <w:bCs w:val="0"/>
          <w:rtl w:val="0"/>
          <w:lang w:val="en-US"/>
        </w:rPr>
        <w:t>Identify and understand the differences between the modern and traditional points of view, oppositional relationships between categorical syllogistic forms versus operations, and learn how to test for validity and invalidity in the traditional point of view using Venn diagrams.</w:t>
      </w:r>
    </w:p>
    <w:p>
      <w:pPr>
        <w:pStyle w:val="Body A"/>
        <w:rPr>
          <w:rStyle w:val="None"/>
          <w:rFonts w:ascii="Times New Roman" w:cs="Times New Roman" w:hAnsi="Times New Roman" w:eastAsia="Times New Roman"/>
        </w:rPr>
      </w:pPr>
    </w:p>
    <w:p>
      <w:pPr>
        <w:pStyle w:val="List Paragraph"/>
        <w:rPr>
          <w:rStyle w:val="None"/>
          <w:rFonts w:ascii="Cambria" w:cs="Cambria" w:hAnsi="Cambria" w:eastAsia="Cambria"/>
          <w:b w:val="1"/>
          <w:bCs w:val="1"/>
        </w:rPr>
      </w:pPr>
      <w:r>
        <w:rPr>
          <w:rStyle w:val="None"/>
          <w:rFonts w:ascii="Cambria" w:cs="Cambria" w:hAnsi="Cambria" w:eastAsia="Cambria"/>
          <w:b w:val="1"/>
          <w:bCs w:val="1"/>
          <w:rtl w:val="0"/>
          <w:lang w:val="en-US"/>
        </w:rPr>
        <w:t xml:space="preserve">Test 1 </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Categorical Syllogisms, Immediate Inferences, and Venn Diagrams</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4 Propositional Logic, Atomic Sentences, and Translation</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6.1 in and do the following exercises: section 6.1: 10-27.</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Learn to symbolize ordinary language into symbolic form. Identify, translate, and apply the five logical operators.</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5 Truth Functions and Truth Tables</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6.2-6.4 and do the following exercises: section 6.2:: parts I and II. </w:t>
      </w:r>
      <w:r>
        <w:rPr>
          <w:rFonts w:ascii="Times New Roman" w:hAnsi="Times New Roman" w:hint="default"/>
          <w:rtl w:val="0"/>
          <w:lang w:val="en-US"/>
        </w:rPr>
        <w:t xml:space="preserve">– </w:t>
      </w:r>
      <w:r>
        <w:rPr>
          <w:rFonts w:ascii="Times New Roman" w:hAnsi="Times New Roman"/>
          <w:rtl w:val="0"/>
          <w:lang w:val="en-US"/>
        </w:rPr>
        <w:t xml:space="preserve">5-10, part III </w:t>
      </w:r>
      <w:r>
        <w:rPr>
          <w:rFonts w:ascii="Times New Roman" w:hAnsi="Times New Roman" w:hint="default"/>
          <w:rtl w:val="0"/>
          <w:lang w:val="en-US"/>
        </w:rPr>
        <w:t xml:space="preserve">– </w:t>
      </w:r>
      <w:r>
        <w:rPr>
          <w:rFonts w:ascii="Times New Roman" w:hAnsi="Times New Roman"/>
          <w:rtl w:val="0"/>
          <w:lang w:val="en-US"/>
        </w:rPr>
        <w:t xml:space="preserve">10-25; section 6.3: part I </w:t>
      </w:r>
      <w:r>
        <w:rPr>
          <w:rFonts w:ascii="Times New Roman" w:hAnsi="Times New Roman" w:hint="default"/>
          <w:rtl w:val="0"/>
          <w:lang w:val="en-US"/>
        </w:rPr>
        <w:t xml:space="preserve">– </w:t>
      </w:r>
      <w:r>
        <w:rPr>
          <w:rFonts w:ascii="Times New Roman" w:hAnsi="Times New Roman"/>
          <w:rtl w:val="0"/>
          <w:lang w:val="en-US"/>
        </w:rPr>
        <w:t xml:space="preserve">6-12; part II - 3-9; section 6.4: part I </w:t>
      </w:r>
      <w:r>
        <w:rPr>
          <w:rFonts w:ascii="Times New Roman" w:hAnsi="Times New Roman" w:hint="default"/>
          <w:rtl w:val="0"/>
          <w:lang w:val="en-US"/>
        </w:rPr>
        <w:t xml:space="preserve">– </w:t>
      </w:r>
      <w:r>
        <w:rPr>
          <w:rFonts w:ascii="Times New Roman" w:hAnsi="Times New Roman"/>
          <w:rtl w:val="0"/>
          <w:lang w:val="en-US"/>
        </w:rPr>
        <w:t xml:space="preserve">1-5, part II </w:t>
      </w:r>
      <w:r>
        <w:rPr>
          <w:rFonts w:ascii="Times New Roman" w:hAnsi="Times New Roman" w:hint="default"/>
          <w:rtl w:val="0"/>
          <w:lang w:val="en-US"/>
        </w:rPr>
        <w:t xml:space="preserve">– </w:t>
      </w:r>
      <w:r>
        <w:rPr>
          <w:rFonts w:ascii="Times New Roman" w:hAnsi="Times New Roman"/>
          <w:rtl w:val="0"/>
          <w:lang w:val="en-US"/>
        </w:rPr>
        <w:t>5-15.</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Learn how to construct a truth table for connectives and arguments.</w:t>
      </w:r>
    </w:p>
    <w:p>
      <w:pPr>
        <w:pStyle w:val="Body A"/>
        <w:rPr>
          <w:rStyle w:val="None"/>
          <w:rFonts w:ascii="Times New Roman" w:cs="Times New Roman" w:hAnsi="Times New Roman" w:eastAsia="Times New Roman"/>
        </w:rPr>
      </w:pPr>
    </w:p>
    <w:p>
      <w:pPr>
        <w:pStyle w:val="Body A"/>
        <w:ind w:left="720" w:firstLine="0"/>
        <w:rPr>
          <w:rStyle w:val="None"/>
          <w:rFonts w:ascii="Cambria" w:cs="Cambria" w:hAnsi="Cambria" w:eastAsia="Cambria"/>
          <w:b w:val="1"/>
          <w:bCs w:val="1"/>
        </w:rPr>
      </w:pPr>
      <w:r>
        <w:rPr>
          <w:rStyle w:val="None"/>
          <w:rFonts w:ascii="Cambria" w:cs="Cambria" w:hAnsi="Cambria" w:eastAsia="Cambria"/>
          <w:b w:val="1"/>
          <w:bCs w:val="1"/>
          <w:rtl w:val="0"/>
          <w:lang w:val="en-US"/>
        </w:rPr>
        <w:t xml:space="preserve">Presentations </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Deductive, Inductive Reasoning and Falsifiability</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6 Truth Functions and Truth Tables</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6.5-6.6 and do the following exercises: section 6.5: part I 3-12, part II - 5-10; section 6.6: all.</w:t>
      </w:r>
    </w:p>
    <w:p>
      <w:pPr>
        <w:pStyle w:val="Body A"/>
        <w:numPr>
          <w:ilvl w:val="0"/>
          <w:numId w:val="7"/>
        </w:numPr>
        <w:bidi w:val="0"/>
        <w:ind w:right="0"/>
        <w:jc w:val="left"/>
        <w:rPr>
          <w:rFonts w:ascii="Times New Roman" w:hAnsi="Times New Roman"/>
          <w:b w:val="1"/>
          <w:bCs w:val="1"/>
          <w:rtl w:val="0"/>
          <w:lang w:val="en-US"/>
        </w:rPr>
      </w:pPr>
      <w:r>
        <w:rPr>
          <w:rStyle w:val="None"/>
          <w:rFonts w:ascii="Times New Roman" w:hAnsi="Times New Roman"/>
          <w:b w:val="0"/>
          <w:bCs w:val="0"/>
          <w:i w:val="1"/>
          <w:iCs w:val="1"/>
          <w:rtl w:val="0"/>
          <w:lang w:val="en-US"/>
        </w:rPr>
        <w:t xml:space="preserve">Learning Objective:  </w:t>
      </w:r>
      <w:r>
        <w:rPr>
          <w:rStyle w:val="None"/>
          <w:rFonts w:ascii="Times New Roman" w:hAnsi="Times New Roman"/>
          <w:b w:val="0"/>
          <w:bCs w:val="0"/>
          <w:rtl w:val="0"/>
          <w:lang w:val="en-US"/>
        </w:rPr>
        <w:t>Learn how to and understand the implications of truth functions for validity, invalidity, tautological arguments, logical equivalence, and contradiction.</w:t>
      </w:r>
    </w:p>
    <w:p>
      <w:pPr>
        <w:pStyle w:val="Body A"/>
        <w:ind w:left="2520" w:firstLine="0"/>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           Test 2 </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Atomic Sentences and Truth Tables</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7 Rules of Implication and Replacement</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7.1-7.2 and do the following exercises: section 7.1: parts I </w:t>
      </w:r>
      <w:r>
        <w:rPr>
          <w:rFonts w:ascii="Times New Roman" w:hAnsi="Times New Roman" w:hint="default"/>
          <w:rtl w:val="0"/>
          <w:lang w:val="en-US"/>
        </w:rPr>
        <w:t>–</w:t>
      </w:r>
      <w:r>
        <w:rPr>
          <w:rFonts w:ascii="Times New Roman" w:hAnsi="Times New Roman"/>
          <w:rtl w:val="0"/>
          <w:lang w:val="en-US"/>
        </w:rPr>
        <w:t xml:space="preserve">III </w:t>
      </w:r>
      <w:r>
        <w:rPr>
          <w:rFonts w:ascii="Times New Roman" w:hAnsi="Times New Roman" w:hint="default"/>
          <w:rtl w:val="0"/>
          <w:lang w:val="en-US"/>
        </w:rPr>
        <w:t xml:space="preserve">– </w:t>
      </w:r>
      <w:r>
        <w:rPr>
          <w:rFonts w:ascii="Times New Roman" w:hAnsi="Times New Roman"/>
          <w:rtl w:val="0"/>
          <w:lang w:val="en-US"/>
        </w:rPr>
        <w:t xml:space="preserve">5-15; section 7.2: part I </w:t>
      </w:r>
      <w:r>
        <w:rPr>
          <w:rFonts w:ascii="Times New Roman" w:hAnsi="Times New Roman" w:hint="default"/>
          <w:rtl w:val="0"/>
          <w:lang w:val="en-US"/>
        </w:rPr>
        <w:t xml:space="preserve">– </w:t>
      </w:r>
      <w:r>
        <w:rPr>
          <w:rFonts w:ascii="Times New Roman" w:hAnsi="Times New Roman"/>
          <w:rtl w:val="0"/>
          <w:lang w:val="en-US"/>
        </w:rPr>
        <w:t>3-10, parts II and III 5-20.</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 xml:space="preserve">Identify and understand the rules of implication and replacement. </w:t>
      </w:r>
    </w:p>
    <w:p>
      <w:pPr>
        <w:pStyle w:val="Body A"/>
        <w:rPr>
          <w:rStyle w:val="None"/>
          <w:rFonts w:ascii="Times New Roman" w:cs="Times New Roman" w:hAnsi="Times New Roman" w:eastAsia="Times New Roman"/>
        </w:rPr>
      </w:pPr>
    </w:p>
    <w:p>
      <w:pPr>
        <w:pStyle w:val="Body A"/>
        <w:rPr>
          <w:rStyle w:val="None"/>
        </w:rPr>
      </w:pPr>
      <w:r>
        <w:rPr>
          <w:rStyle w:val="None"/>
          <w:b w:val="1"/>
          <w:bCs w:val="1"/>
          <w:rtl w:val="0"/>
          <w:lang w:val="en-US"/>
        </w:rPr>
        <w:t xml:space="preserve">Paper due </w:t>
      </w:r>
      <w:r>
        <w:rPr>
          <w:rStyle w:val="None"/>
          <w:rtl w:val="0"/>
          <w:lang w:val="en-US"/>
        </w:rPr>
        <w:t xml:space="preserve">(see </w:t>
      </w:r>
      <w:r>
        <w:rPr>
          <w:rStyle w:val="None"/>
          <w:rtl w:val="0"/>
          <w:lang w:val="en-US"/>
        </w:rPr>
        <w:t>“</w:t>
      </w:r>
      <w:r>
        <w:rPr>
          <w:rStyle w:val="None"/>
          <w:rtl w:val="0"/>
          <w:lang w:val="en-US"/>
        </w:rPr>
        <w:t>Scope of Assignments</w:t>
      </w:r>
      <w:r>
        <w:rPr>
          <w:rStyle w:val="None"/>
          <w:rtl w:val="0"/>
          <w:lang w:val="en-US"/>
        </w:rPr>
        <w:t xml:space="preserve">” </w:t>
      </w:r>
      <w:r>
        <w:rPr>
          <w:rStyle w:val="None"/>
          <w:rtl w:val="0"/>
          <w:lang w:val="en-US"/>
        </w:rPr>
        <w:t>for details.)</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8 Rules of Implication and Replacement</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7.3-7.5 and do the following exercises: section 7.3: parts I </w:t>
      </w:r>
      <w:r>
        <w:rPr>
          <w:rFonts w:ascii="Times New Roman" w:hAnsi="Times New Roman" w:hint="default"/>
          <w:rtl w:val="0"/>
          <w:lang w:val="en-US"/>
        </w:rPr>
        <w:t xml:space="preserve">– </w:t>
      </w:r>
      <w:r>
        <w:rPr>
          <w:rFonts w:ascii="Times New Roman" w:hAnsi="Times New Roman"/>
          <w:rtl w:val="0"/>
          <w:lang w:val="en-US"/>
        </w:rPr>
        <w:t xml:space="preserve">II </w:t>
      </w:r>
      <w:r>
        <w:rPr>
          <w:rFonts w:ascii="Times New Roman" w:hAnsi="Times New Roman" w:hint="default"/>
          <w:rtl w:val="0"/>
          <w:lang w:val="en-US"/>
        </w:rPr>
        <w:t xml:space="preserve">– </w:t>
      </w:r>
      <w:r>
        <w:rPr>
          <w:rFonts w:ascii="Times New Roman" w:hAnsi="Times New Roman"/>
          <w:rtl w:val="0"/>
          <w:lang w:val="en-US"/>
        </w:rPr>
        <w:t xml:space="preserve">3-10, part III </w:t>
      </w:r>
      <w:r>
        <w:rPr>
          <w:rFonts w:ascii="Times New Roman" w:hAnsi="Times New Roman" w:hint="default"/>
          <w:rtl w:val="0"/>
          <w:lang w:val="en-US"/>
        </w:rPr>
        <w:t xml:space="preserve">– </w:t>
      </w:r>
      <w:r>
        <w:rPr>
          <w:rFonts w:ascii="Times New Roman" w:hAnsi="Times New Roman"/>
          <w:rtl w:val="0"/>
          <w:lang w:val="en-US"/>
        </w:rPr>
        <w:t xml:space="preserve">5-20; section 7.4: parts I and II </w:t>
      </w:r>
      <w:r>
        <w:rPr>
          <w:rFonts w:ascii="Times New Roman" w:hAnsi="Times New Roman" w:hint="default"/>
          <w:rtl w:val="0"/>
          <w:lang w:val="en-US"/>
        </w:rPr>
        <w:t xml:space="preserve">– </w:t>
      </w:r>
      <w:r>
        <w:rPr>
          <w:rFonts w:ascii="Times New Roman" w:hAnsi="Times New Roman"/>
          <w:rtl w:val="0"/>
          <w:lang w:val="en-US"/>
        </w:rPr>
        <w:t xml:space="preserve">3-10, part III </w:t>
      </w:r>
      <w:r>
        <w:rPr>
          <w:rFonts w:ascii="Times New Roman" w:hAnsi="Times New Roman" w:hint="default"/>
          <w:rtl w:val="0"/>
          <w:lang w:val="en-US"/>
        </w:rPr>
        <w:t xml:space="preserve">– </w:t>
      </w:r>
      <w:r>
        <w:rPr>
          <w:rFonts w:ascii="Times New Roman" w:hAnsi="Times New Roman"/>
          <w:rtl w:val="0"/>
          <w:lang w:val="en-US"/>
        </w:rPr>
        <w:t xml:space="preserve">5-20; section 7.5: part I </w:t>
      </w:r>
      <w:r>
        <w:rPr>
          <w:rFonts w:ascii="Times New Roman" w:hAnsi="Times New Roman" w:hint="default"/>
          <w:rtl w:val="0"/>
          <w:lang w:val="en-US"/>
        </w:rPr>
        <w:t xml:space="preserve">– </w:t>
      </w:r>
      <w:r>
        <w:rPr>
          <w:rFonts w:ascii="Times New Roman" w:hAnsi="Times New Roman"/>
          <w:rtl w:val="0"/>
          <w:lang w:val="en-US"/>
        </w:rPr>
        <w:t xml:space="preserve">3-10, part II </w:t>
      </w:r>
      <w:r>
        <w:rPr>
          <w:rFonts w:ascii="Times New Roman" w:hAnsi="Times New Roman" w:hint="default"/>
          <w:rtl w:val="0"/>
          <w:lang w:val="en-US"/>
        </w:rPr>
        <w:t xml:space="preserve">– </w:t>
      </w:r>
      <w:r>
        <w:rPr>
          <w:rFonts w:ascii="Times New Roman" w:hAnsi="Times New Roman"/>
          <w:rtl w:val="0"/>
          <w:lang w:val="en-US"/>
        </w:rPr>
        <w:t>2-5.</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Identify and understand the rules of implication and replacement.</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9 Indirect Proofs and Proving Tautologies</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7.6-7.7 and do the following exercises: section 7.6: part I </w:t>
      </w:r>
      <w:r>
        <w:rPr>
          <w:rFonts w:ascii="Times New Roman" w:hAnsi="Times New Roman" w:hint="default"/>
          <w:rtl w:val="0"/>
          <w:lang w:val="en-US"/>
        </w:rPr>
        <w:t xml:space="preserve">– </w:t>
      </w:r>
      <w:r>
        <w:rPr>
          <w:rFonts w:ascii="Times New Roman" w:hAnsi="Times New Roman"/>
          <w:rtl w:val="0"/>
          <w:lang w:val="en-US"/>
        </w:rPr>
        <w:t>5-15, part II - 2-5; section 7.7: all.</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Understand indirect proofs and apply them to proving tautologies.</w:t>
      </w:r>
    </w:p>
    <w:p>
      <w:pPr>
        <w:pStyle w:val="Body A"/>
        <w:rPr>
          <w:rStyle w:val="None"/>
          <w:rFonts w:ascii="Times New Roman" w:cs="Times New Roman" w:hAnsi="Times New Roman" w:eastAsia="Times New Roman"/>
        </w:rPr>
      </w:pPr>
    </w:p>
    <w:p>
      <w:pPr>
        <w:pStyle w:val="List Paragraph"/>
        <w:ind w:left="781" w:firstLine="0"/>
        <w:rPr>
          <w:rStyle w:val="None"/>
          <w:rFonts w:ascii="Cambria" w:cs="Cambria" w:hAnsi="Cambria" w:eastAsia="Cambria"/>
          <w:b w:val="1"/>
          <w:bCs w:val="1"/>
        </w:rPr>
      </w:pPr>
      <w:r>
        <w:rPr>
          <w:rStyle w:val="None"/>
          <w:rFonts w:ascii="Cambria" w:cs="Cambria" w:hAnsi="Cambria" w:eastAsia="Cambria"/>
          <w:b w:val="1"/>
          <w:bCs w:val="1"/>
          <w:rtl w:val="0"/>
          <w:lang w:val="en-US"/>
        </w:rPr>
        <w:t xml:space="preserve">Test 3 </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Rules of Implication, Replacement, and Indirect Proofs</w:t>
      </w:r>
    </w:p>
    <w:p>
      <w:pPr>
        <w:pStyle w:val="Body A"/>
        <w:rPr>
          <w:rStyle w:val="None"/>
          <w:b w:val="1"/>
          <w:bCs w:val="1"/>
        </w:rPr>
      </w:pPr>
      <w:r>
        <w:rPr>
          <w:rStyle w:val="None"/>
          <w:b w:val="1"/>
          <w:bCs w:val="1"/>
          <w:rtl w:val="0"/>
          <w:lang w:val="en-US"/>
        </w:rPr>
        <w:t xml:space="preserve"> </w:t>
      </w: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10 Translating Ordinary Language into Predicate/Quantificational Logic</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 8.1 and do the following exercises: 5-30.</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Learn to translate ordinary sentences into quantifiers and predicate logical form. Understand how certain sentences fit universal, existential, and relational patterns, and what roles variables and constants play. Demonstrate the application of these rules in generalizing and instantiating constants.</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11 Rules regarding Quantifiers: Generalizing, Instantiating, and Equivalence</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8.2 and do the following exercises: section 8.2: part I </w:t>
      </w:r>
      <w:r>
        <w:rPr>
          <w:rFonts w:ascii="Times New Roman" w:hAnsi="Times New Roman" w:hint="default"/>
          <w:rtl w:val="0"/>
          <w:lang w:val="en-US"/>
        </w:rPr>
        <w:t xml:space="preserve">– </w:t>
      </w:r>
      <w:r>
        <w:rPr>
          <w:rFonts w:ascii="Times New Roman" w:hAnsi="Times New Roman"/>
          <w:rtl w:val="0"/>
          <w:lang w:val="en-US"/>
        </w:rPr>
        <w:t xml:space="preserve">5-15, part II </w:t>
      </w:r>
      <w:r>
        <w:rPr>
          <w:rFonts w:ascii="Times New Roman" w:hAnsi="Times New Roman" w:hint="default"/>
          <w:rtl w:val="0"/>
          <w:lang w:val="en-US"/>
        </w:rPr>
        <w:t xml:space="preserve">– </w:t>
      </w:r>
      <w:r>
        <w:rPr>
          <w:rFonts w:ascii="Times New Roman" w:hAnsi="Times New Roman"/>
          <w:rtl w:val="0"/>
          <w:lang w:val="en-US"/>
        </w:rPr>
        <w:t>3-8.</w:t>
      </w:r>
    </w:p>
    <w:p>
      <w:pPr>
        <w:pStyle w:val="List Paragraph"/>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Understand the relationships between generalizing a statement and instantiating one, and which rules apply in governing universal and existential statements. Understand equivalence and identity of forms.</w:t>
      </w:r>
    </w:p>
    <w:p>
      <w:pPr>
        <w:pStyle w:val="Body A"/>
        <w:ind w:left="2520" w:firstLine="0"/>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12 Rules regarding Quantifiers: Generalizing, Instantiating, and Equivalence</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8.3 and do the following exercises: section 8.3: part I </w:t>
      </w:r>
      <w:r>
        <w:rPr>
          <w:rFonts w:ascii="Times New Roman" w:hAnsi="Times New Roman" w:hint="default"/>
          <w:rtl w:val="0"/>
          <w:lang w:val="en-US"/>
        </w:rPr>
        <w:t xml:space="preserve">– </w:t>
      </w:r>
      <w:r>
        <w:rPr>
          <w:rFonts w:ascii="Times New Roman" w:hAnsi="Times New Roman"/>
          <w:rtl w:val="0"/>
          <w:lang w:val="en-US"/>
        </w:rPr>
        <w:t xml:space="preserve">5-15, part II </w:t>
      </w:r>
      <w:r>
        <w:rPr>
          <w:rFonts w:ascii="Times New Roman" w:hAnsi="Times New Roman" w:hint="default"/>
          <w:rtl w:val="0"/>
          <w:lang w:val="en-US"/>
        </w:rPr>
        <w:t xml:space="preserve">– </w:t>
      </w:r>
      <w:r>
        <w:rPr>
          <w:rFonts w:ascii="Times New Roman" w:hAnsi="Times New Roman"/>
          <w:rtl w:val="0"/>
          <w:lang w:val="en-US"/>
        </w:rPr>
        <w:t>3-10.</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 xml:space="preserve">Understand the relationships between generalizing a statement and instantiating one, and which rules apply in governing universal and existential statements. Understand equivalence and identity of forms.  </w:t>
      </w:r>
    </w:p>
    <w:p>
      <w:pPr>
        <w:pStyle w:val="Body A"/>
        <w:rPr>
          <w:rStyle w:val="None"/>
          <w:rFonts w:ascii="Times New Roman" w:cs="Times New Roman" w:hAnsi="Times New Roman" w:eastAsia="Times New Roman"/>
        </w:rPr>
      </w:pPr>
    </w:p>
    <w:p>
      <w:pPr>
        <w:pStyle w:val="Body A"/>
      </w:pPr>
      <w:r>
        <w:rPr>
          <w:rStyle w:val="None"/>
          <w:rFonts w:ascii="Cambria" w:cs="Cambria" w:hAnsi="Cambria" w:eastAsia="Cambria"/>
          <w:b w:val="1"/>
          <w:bCs w:val="1"/>
          <w:rtl w:val="0"/>
          <w:lang w:val="en-US"/>
        </w:rPr>
        <w:t xml:space="preserve">             Test 4  </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Translating and Applying Rules to Quantificational Logic</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13 Conditional and Indirect Proofs and Proving Invalidity</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8.4-8.5 and do the following exercises: section 8.4: part I </w:t>
      </w:r>
      <w:r>
        <w:rPr>
          <w:rFonts w:ascii="Times New Roman" w:hAnsi="Times New Roman" w:hint="default"/>
          <w:rtl w:val="0"/>
          <w:lang w:val="en-US"/>
        </w:rPr>
        <w:t xml:space="preserve">– </w:t>
      </w:r>
      <w:r>
        <w:rPr>
          <w:rFonts w:ascii="Times New Roman" w:hAnsi="Times New Roman"/>
          <w:rtl w:val="0"/>
          <w:lang w:val="en-US"/>
        </w:rPr>
        <w:t xml:space="preserve">5-15, part II </w:t>
      </w:r>
      <w:r>
        <w:rPr>
          <w:rFonts w:ascii="Times New Roman" w:hAnsi="Times New Roman" w:hint="default"/>
          <w:rtl w:val="0"/>
          <w:lang w:val="en-US"/>
        </w:rPr>
        <w:t xml:space="preserve">– </w:t>
      </w:r>
      <w:r>
        <w:rPr>
          <w:rFonts w:ascii="Times New Roman" w:hAnsi="Times New Roman"/>
          <w:rtl w:val="0"/>
          <w:lang w:val="en-US"/>
        </w:rPr>
        <w:t xml:space="preserve">3-10; section 8.5: parts I and II- 3-10, part III </w:t>
      </w:r>
      <w:r>
        <w:rPr>
          <w:rFonts w:ascii="Times New Roman" w:hAnsi="Times New Roman" w:hint="default"/>
          <w:rtl w:val="0"/>
          <w:lang w:val="en-US"/>
        </w:rPr>
        <w:t xml:space="preserve">– </w:t>
      </w:r>
      <w:r>
        <w:rPr>
          <w:rFonts w:ascii="Times New Roman" w:hAnsi="Times New Roman"/>
          <w:rtl w:val="0"/>
          <w:lang w:val="en-US"/>
        </w:rPr>
        <w:t xml:space="preserve">2-5; section 8.6: part I </w:t>
      </w:r>
      <w:r>
        <w:rPr>
          <w:rFonts w:ascii="Times New Roman" w:hAnsi="Times New Roman" w:hint="default"/>
          <w:rtl w:val="0"/>
          <w:lang w:val="en-US"/>
        </w:rPr>
        <w:t xml:space="preserve">– </w:t>
      </w:r>
      <w:r>
        <w:rPr>
          <w:rFonts w:ascii="Times New Roman" w:hAnsi="Times New Roman"/>
          <w:rtl w:val="0"/>
          <w:lang w:val="en-US"/>
        </w:rPr>
        <w:t xml:space="preserve">5-20, part II </w:t>
      </w:r>
      <w:r>
        <w:rPr>
          <w:rFonts w:ascii="Times New Roman" w:hAnsi="Times New Roman" w:hint="default"/>
          <w:rtl w:val="0"/>
          <w:lang w:val="en-US"/>
        </w:rPr>
        <w:t xml:space="preserve">– </w:t>
      </w:r>
      <w:r>
        <w:rPr>
          <w:rFonts w:ascii="Times New Roman" w:hAnsi="Times New Roman"/>
          <w:rtl w:val="0"/>
          <w:lang w:val="en-US"/>
        </w:rPr>
        <w:t xml:space="preserve">5-15, part III </w:t>
      </w:r>
      <w:r>
        <w:rPr>
          <w:rFonts w:ascii="Times New Roman" w:hAnsi="Times New Roman" w:hint="default"/>
          <w:rtl w:val="0"/>
          <w:lang w:val="en-US"/>
        </w:rPr>
        <w:t xml:space="preserve">– </w:t>
      </w:r>
      <w:r>
        <w:rPr>
          <w:rFonts w:ascii="Times New Roman" w:hAnsi="Times New Roman"/>
          <w:rtl w:val="0"/>
          <w:lang w:val="en-US"/>
        </w:rPr>
        <w:t>3-10.</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 xml:space="preserve">Adapt conditional and indirect proofs to predicate logic, and apply them in proving invalidity.  </w:t>
      </w:r>
    </w:p>
    <w:p>
      <w:pPr>
        <w:pStyle w:val="Body A"/>
        <w:ind w:left="2520" w:firstLine="0"/>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Week 14 Rules regarding Relational Predicates and Identity</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Tasks to be completed for class:</w:t>
      </w:r>
      <w:r>
        <w:rPr>
          <w:rFonts w:ascii="Times New Roman" w:hAnsi="Times New Roman"/>
          <w:rtl w:val="0"/>
          <w:lang w:val="en-US"/>
        </w:rPr>
        <w:t xml:space="preserve">  Read sections 8.6-8.7 and do the following exercises: section 8.6: part I </w:t>
      </w:r>
      <w:r>
        <w:rPr>
          <w:rFonts w:ascii="Times New Roman" w:hAnsi="Times New Roman" w:hint="default"/>
          <w:rtl w:val="0"/>
          <w:lang w:val="en-US"/>
        </w:rPr>
        <w:t xml:space="preserve">– </w:t>
      </w:r>
      <w:r>
        <w:rPr>
          <w:rFonts w:ascii="Times New Roman" w:hAnsi="Times New Roman"/>
          <w:rtl w:val="0"/>
          <w:lang w:val="en-US"/>
        </w:rPr>
        <w:t xml:space="preserve">5-20, part II </w:t>
      </w:r>
      <w:r>
        <w:rPr>
          <w:rFonts w:ascii="Times New Roman" w:hAnsi="Times New Roman" w:hint="default"/>
          <w:rtl w:val="0"/>
          <w:lang w:val="en-US"/>
        </w:rPr>
        <w:t xml:space="preserve">– </w:t>
      </w:r>
      <w:r>
        <w:rPr>
          <w:rFonts w:ascii="Times New Roman" w:hAnsi="Times New Roman"/>
          <w:rtl w:val="0"/>
          <w:lang w:val="en-US"/>
        </w:rPr>
        <w:t xml:space="preserve">5-15, part III </w:t>
      </w:r>
      <w:r>
        <w:rPr>
          <w:rFonts w:ascii="Times New Roman" w:hAnsi="Times New Roman" w:hint="default"/>
          <w:rtl w:val="0"/>
          <w:lang w:val="en-US"/>
        </w:rPr>
        <w:t xml:space="preserve">– </w:t>
      </w:r>
      <w:r>
        <w:rPr>
          <w:rFonts w:ascii="Times New Roman" w:hAnsi="Times New Roman"/>
          <w:rtl w:val="0"/>
          <w:lang w:val="en-US"/>
        </w:rPr>
        <w:t>3-10; section 8.7: all.</w:t>
      </w:r>
    </w:p>
    <w:p>
      <w:pPr>
        <w:pStyle w:val="Body A"/>
        <w:numPr>
          <w:ilvl w:val="0"/>
          <w:numId w:val="7"/>
        </w:numPr>
        <w:bidi w:val="0"/>
        <w:ind w:right="0"/>
        <w:jc w:val="left"/>
        <w:rPr>
          <w:rFonts w:ascii="Times New Roman" w:hAnsi="Times New Roman"/>
          <w:rtl w:val="0"/>
          <w:lang w:val="en-US"/>
        </w:rPr>
      </w:pPr>
      <w:r>
        <w:rPr>
          <w:rStyle w:val="None"/>
          <w:rFonts w:ascii="Times New Roman" w:hAnsi="Times New Roman"/>
          <w:i w:val="1"/>
          <w:iCs w:val="1"/>
          <w:rtl w:val="0"/>
          <w:lang w:val="en-US"/>
        </w:rPr>
        <w:t xml:space="preserve">Learning Objective:  </w:t>
      </w:r>
      <w:r>
        <w:rPr>
          <w:rFonts w:ascii="Times New Roman" w:hAnsi="Times New Roman"/>
          <w:rtl w:val="0"/>
          <w:lang w:val="en-US"/>
        </w:rPr>
        <w:t xml:space="preserve">Understand and translate relational and identity statements, as well as overlapping quantifiers. Learn the rules of inference in regards to identity statements.  </w:t>
      </w:r>
    </w:p>
    <w:p>
      <w:pPr>
        <w:pStyle w:val="Body A"/>
        <w:rPr>
          <w:rStyle w:val="None"/>
          <w:rFonts w:ascii="Times New Roman" w:cs="Times New Roman" w:hAnsi="Times New Roman" w:eastAsia="Times New Roman"/>
          <w:b w:val="1"/>
          <w:bCs w:val="1"/>
        </w:rPr>
      </w:pPr>
    </w:p>
    <w:p>
      <w:pPr>
        <w:pStyle w:val="Body A"/>
        <w:ind w:left="2520" w:firstLine="0"/>
        <w:rPr>
          <w:rStyle w:val="None"/>
          <w:rFonts w:ascii="Times New Roman" w:cs="Times New Roman" w:hAnsi="Times New Roman" w:eastAsia="Times New Roman"/>
        </w:rPr>
      </w:pPr>
    </w:p>
    <w:p>
      <w:pPr>
        <w:pStyle w:val="Body A"/>
      </w:pPr>
      <w:r>
        <w:rPr>
          <w:rStyle w:val="None"/>
          <w:rFonts w:ascii="Cambria" w:cs="Cambria" w:hAnsi="Cambria" w:eastAsia="Cambria"/>
          <w:b w:val="1"/>
          <w:bCs w:val="1"/>
          <w:rtl w:val="0"/>
          <w:lang w:val="en-US"/>
        </w:rPr>
        <w:t xml:space="preserve">Group Presentations </w:t>
      </w:r>
      <w:r>
        <w:rPr>
          <w:rtl w:val="0"/>
        </w:rPr>
        <w:t xml:space="preserve">(see </w:t>
      </w:r>
      <w:r>
        <w:rPr>
          <w:rtl w:val="0"/>
        </w:rPr>
        <w:t>“</w:t>
      </w:r>
      <w:r>
        <w:rPr>
          <w:rtl w:val="0"/>
        </w:rPr>
        <w:t>Scope of Assignments</w:t>
      </w:r>
      <w:r>
        <w:rPr>
          <w:rtl w:val="0"/>
        </w:rPr>
        <w:t xml:space="preserve">” </w:t>
      </w:r>
      <w:r>
        <w:rPr>
          <w:rtl w:val="0"/>
        </w:rPr>
        <w:t>for details.)</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sz w:val="28"/>
          <w:szCs w:val="28"/>
        </w:rPr>
      </w:pPr>
      <w:r>
        <w:rPr>
          <w:rStyle w:val="None"/>
          <w:rFonts w:ascii="Cambria" w:cs="Cambria" w:hAnsi="Cambria" w:eastAsia="Cambria"/>
          <w:b w:val="1"/>
          <w:bCs w:val="1"/>
          <w:rtl w:val="0"/>
          <w:lang w:val="nl-NL"/>
        </w:rPr>
        <w:t xml:space="preserve">Week 15 </w:t>
      </w:r>
      <w:r>
        <w:rPr>
          <w:rStyle w:val="None"/>
          <w:rFonts w:ascii="Cambria" w:cs="Cambria" w:hAnsi="Cambria" w:eastAsia="Cambria"/>
          <w:b w:val="1"/>
          <w:bCs w:val="1"/>
          <w:sz w:val="28"/>
          <w:szCs w:val="28"/>
          <w:rtl w:val="0"/>
          <w:lang w:val="en-US"/>
        </w:rPr>
        <w:t>Final Exam</w:t>
      </w:r>
    </w:p>
    <w:p>
      <w:pPr>
        <w:pStyle w:val="List Paragraph"/>
        <w:numPr>
          <w:ilvl w:val="0"/>
          <w:numId w:val="9"/>
        </w:numPr>
        <w:bidi w:val="0"/>
        <w:ind w:right="0"/>
        <w:jc w:val="left"/>
        <w:rPr>
          <w:rFonts w:ascii="Times New Roman" w:hAnsi="Times New Roman"/>
          <w:rtl w:val="0"/>
          <w:lang w:val="en-US"/>
        </w:rPr>
      </w:pPr>
      <w:r>
        <w:rPr>
          <w:rFonts w:ascii="Times New Roman" w:hAnsi="Times New Roman"/>
          <w:rtl w:val="0"/>
          <w:lang w:val="en-US"/>
        </w:rPr>
        <w:t>Demonstrate learning objectives, including course content and reading, writing, critical thinking, evaluative, and reflective competencies through an in-class exam.</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sz w:val="28"/>
          <w:szCs w:val="28"/>
        </w:rPr>
      </w:pPr>
    </w:p>
    <w:p>
      <w:pPr>
        <w:pStyle w:val="Body A"/>
        <w:rPr>
          <w:rStyle w:val="None"/>
          <w:rFonts w:ascii="Times New Roman" w:cs="Times New Roman" w:hAnsi="Times New Roman" w:eastAsia="Times New Roman"/>
          <w:sz w:val="28"/>
          <w:szCs w:val="28"/>
        </w:rPr>
      </w:pPr>
    </w:p>
    <w:p>
      <w:pPr>
        <w:pStyle w:val="Body A"/>
        <w:rPr>
          <w:rStyle w:val="None"/>
          <w:rFonts w:ascii="Times New Roman" w:cs="Times New Roman" w:hAnsi="Times New Roman" w:eastAsia="Times New Roman"/>
          <w:sz w:val="28"/>
          <w:szCs w:val="28"/>
        </w:rPr>
      </w:pP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Heading 3"/>
        <w:jc w:val="left"/>
        <w:rPr>
          <w:rStyle w:val="None"/>
          <w:b w:val="0"/>
          <w:bCs w:val="0"/>
        </w:rPr>
      </w:pPr>
      <w:r>
        <w:rPr>
          <w:rStyle w:val="None"/>
          <w:b w:val="0"/>
          <w:bCs w:val="0"/>
          <w:rtl w:val="0"/>
          <w:lang w:val="de-DE"/>
        </w:rPr>
        <w:t>COURSE INTENDED LEARNING OUTCOMES/ASSESSMENT METHODS</w:t>
      </w:r>
    </w:p>
    <w:p>
      <w:pPr>
        <w:pStyle w:val="Body A"/>
        <w:jc w:val="center"/>
        <w:rPr>
          <w:rStyle w:val="None"/>
          <w:rFonts w:ascii="Times New Roman" w:cs="Times New Roman" w:hAnsi="Times New Roman" w:eastAsia="Times New Roman"/>
          <w:b w:val="1"/>
          <w:bCs w:val="1"/>
        </w:rPr>
      </w:pPr>
    </w:p>
    <w:tbl>
      <w:tblPr>
        <w:tblW w:w="92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4950"/>
      </w:tblGrid>
      <w:tr>
        <w:tblPrEx>
          <w:shd w:val="clear" w:color="auto" w:fill="ced7e7"/>
        </w:tblPrEx>
        <w:trPr>
          <w:trHeight w:val="630"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rPr>
                <w:rStyle w:val="None"/>
                <w:b w:val="1"/>
                <w:bCs w:val="1"/>
                <w:lang w:val="en-US"/>
              </w:rPr>
            </w:pPr>
          </w:p>
          <w:p>
            <w:pPr>
              <w:pStyle w:val="heading 4"/>
              <w:bidi w:val="0"/>
              <w:ind w:left="0" w:right="0" w:firstLine="0"/>
              <w:jc w:val="center"/>
              <w:rPr>
                <w:rtl w:val="0"/>
              </w:rPr>
            </w:pPr>
            <w:r>
              <w:rPr>
                <w:rStyle w:val="None"/>
                <w:b w:val="1"/>
                <w:bCs w:val="1"/>
                <w:rtl w:val="0"/>
                <w:lang w:val="en-US"/>
              </w:rPr>
              <w:t>LEARNING OUTCOMES</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rPr>
                <w:rStyle w:val="None"/>
                <w:lang w:val="en-US"/>
              </w:rPr>
            </w:pPr>
          </w:p>
          <w:p>
            <w:pPr>
              <w:pStyle w:val="Heading 3"/>
              <w:bidi w:val="0"/>
              <w:ind w:left="0" w:right="0" w:firstLine="0"/>
              <w:jc w:val="center"/>
              <w:rPr>
                <w:rtl w:val="0"/>
              </w:rPr>
            </w:pPr>
            <w:r>
              <w:rPr>
                <w:rStyle w:val="None"/>
                <w:rtl w:val="0"/>
                <w:lang w:val="en-US"/>
              </w:rPr>
              <w:t>ASSESSMENT METHODS</w:t>
            </w:r>
          </w:p>
        </w:tc>
      </w:tr>
      <w:tr>
        <w:tblPrEx>
          <w:shd w:val="clear" w:color="auto" w:fill="ced7e7"/>
        </w:tblPrEx>
        <w:trPr>
          <w:trHeight w:val="1830"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p>
          <w:p>
            <w:pPr>
              <w:pStyle w:val="Body A"/>
              <w:bidi w:val="0"/>
              <w:ind w:left="0" w:right="0" w:firstLine="0"/>
              <w:jc w:val="left"/>
              <w:rPr>
                <w:rtl w:val="0"/>
              </w:rPr>
            </w:pPr>
            <w:r>
              <w:rPr>
                <w:rStyle w:val="None"/>
                <w:rtl w:val="0"/>
                <w:lang w:val="en-US"/>
              </w:rPr>
              <w:t xml:space="preserve">Understand the major categories of logic, including categorical syllogisms, propositional logic, and predicate logic. </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1.</w:t>
            </w:r>
          </w:p>
          <w:p>
            <w:pPr>
              <w:pStyle w:val="Body A"/>
              <w:bidi w:val="0"/>
              <w:ind w:left="0" w:right="0" w:firstLine="0"/>
              <w:jc w:val="left"/>
              <w:rPr>
                <w:rtl w:val="0"/>
              </w:rPr>
            </w:pPr>
            <w:r>
              <w:rPr>
                <w:rStyle w:val="None"/>
                <w:rtl w:val="0"/>
                <w:lang w:val="en-US"/>
              </w:rPr>
              <w:t>Regular homework assignments will assess students</w:t>
            </w:r>
            <w:r>
              <w:rPr>
                <w:rStyle w:val="None"/>
                <w:rtl w:val="0"/>
                <w:lang w:val="en-US"/>
              </w:rPr>
              <w:t xml:space="preserve">’ </w:t>
            </w:r>
            <w:r>
              <w:rPr>
                <w:rStyle w:val="None"/>
                <w:rtl w:val="0"/>
                <w:lang w:val="en-US"/>
              </w:rPr>
              <w:t>ability to recognize logical systems. Class discussion and frequent tests will also be regularly administered to check student comprehension.</w:t>
            </w:r>
          </w:p>
        </w:tc>
      </w:tr>
      <w:tr>
        <w:tblPrEx>
          <w:shd w:val="clear" w:color="auto" w:fill="ced7e7"/>
        </w:tblPrEx>
        <w:trPr>
          <w:trHeight w:val="2730"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2.</w:t>
            </w:r>
          </w:p>
          <w:p>
            <w:pPr>
              <w:pStyle w:val="Body A"/>
              <w:bidi w:val="0"/>
              <w:ind w:left="0" w:right="0" w:firstLine="0"/>
              <w:jc w:val="left"/>
              <w:rPr>
                <w:rtl w:val="0"/>
              </w:rPr>
            </w:pPr>
            <w:r>
              <w:rPr>
                <w:rStyle w:val="None"/>
                <w:rtl w:val="0"/>
                <w:lang w:val="en-US"/>
              </w:rPr>
              <w:t xml:space="preserve">Learn how to translate and interpret natural language sentences, its operators and elements into logical form. Understand the underlying patterns that various natural language sentences share. </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2.</w:t>
            </w:r>
          </w:p>
          <w:p>
            <w:pPr>
              <w:pStyle w:val="Body A"/>
              <w:bidi w:val="0"/>
              <w:ind w:left="0" w:right="0" w:firstLine="0"/>
              <w:jc w:val="left"/>
              <w:rPr>
                <w:rtl w:val="0"/>
              </w:rPr>
            </w:pPr>
            <w:r>
              <w:rPr>
                <w:rStyle w:val="None"/>
                <w:rtl w:val="0"/>
                <w:lang w:val="en-US"/>
              </w:rPr>
              <w:t>Regular homework assignments will assess students</w:t>
            </w:r>
            <w:r>
              <w:rPr>
                <w:rStyle w:val="None"/>
                <w:rtl w:val="0"/>
                <w:lang w:val="en-US"/>
              </w:rPr>
              <w:t xml:space="preserve">’ </w:t>
            </w:r>
            <w:r>
              <w:rPr>
                <w:rStyle w:val="None"/>
                <w:rtl w:val="0"/>
                <w:lang w:val="en-US"/>
              </w:rPr>
              <w:t>ability to translate and interpret natural language into logical form and to recognize the underlying patterns that logic makes bare. Tests and an exam will further assess proficiency in these areas.</w:t>
            </w:r>
          </w:p>
        </w:tc>
      </w:tr>
      <w:tr>
        <w:tblPrEx>
          <w:shd w:val="clear" w:color="auto" w:fill="ced7e7"/>
        </w:tblPrEx>
        <w:trPr>
          <w:trHeight w:val="2730"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3.</w:t>
            </w:r>
          </w:p>
          <w:p>
            <w:pPr>
              <w:pStyle w:val="Body A"/>
              <w:bidi w:val="0"/>
              <w:ind w:left="0" w:right="0" w:firstLine="0"/>
              <w:jc w:val="left"/>
              <w:rPr>
                <w:rtl w:val="0"/>
              </w:rPr>
            </w:pPr>
            <w:r>
              <w:rPr>
                <w:rStyle w:val="None"/>
                <w:rtl w:val="0"/>
                <w:lang w:val="en-US"/>
              </w:rPr>
              <w:t>Learn and apply analytical tools such as venn diagrams, truth tables, and proofs in evaluating the validity and invalidity of arguments.</w:t>
            </w:r>
            <w:r>
              <w:rPr>
                <w:rStyle w:val="None"/>
                <w:b w:val="1"/>
                <w:bCs w:val="1"/>
                <w:rtl w:val="0"/>
                <w:lang w:val="en-US"/>
              </w:rPr>
              <w:t xml:space="preserve"> </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3.</w:t>
            </w:r>
          </w:p>
          <w:p>
            <w:pPr>
              <w:pStyle w:val="Body A"/>
              <w:bidi w:val="0"/>
              <w:ind w:left="0" w:right="0" w:firstLine="0"/>
              <w:jc w:val="left"/>
              <w:rPr>
                <w:rtl w:val="0"/>
              </w:rPr>
            </w:pPr>
            <w:r>
              <w:rPr>
                <w:rStyle w:val="None"/>
                <w:rtl w:val="0"/>
                <w:lang w:val="en-US"/>
              </w:rPr>
              <w:t>Regular homework assignments will assess students</w:t>
            </w:r>
            <w:r>
              <w:rPr>
                <w:rStyle w:val="None"/>
                <w:rtl w:val="0"/>
                <w:lang w:val="en-US"/>
              </w:rPr>
              <w:t xml:space="preserve">’ </w:t>
            </w:r>
            <w:r>
              <w:rPr>
                <w:rStyle w:val="None"/>
                <w:rtl w:val="0"/>
                <w:lang w:val="en-US"/>
              </w:rPr>
              <w:t>ability to apply analytical tools in evaluating the validity and invalidity of arguments.</w:t>
            </w:r>
          </w:p>
        </w:tc>
      </w:tr>
      <w:tr>
        <w:tblPrEx>
          <w:shd w:val="clear" w:color="auto" w:fill="ced7e7"/>
        </w:tblPrEx>
        <w:trPr>
          <w:trHeight w:val="4530"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4.</w:t>
            </w:r>
          </w:p>
          <w:p>
            <w:pPr>
              <w:pStyle w:val="Body A"/>
              <w:bidi w:val="0"/>
              <w:ind w:left="0" w:right="0" w:firstLine="0"/>
              <w:jc w:val="left"/>
              <w:rPr>
                <w:rtl w:val="0"/>
              </w:rPr>
            </w:pPr>
            <w:r>
              <w:rPr>
                <w:rStyle w:val="None"/>
                <w:rtl w:val="0"/>
                <w:lang w:val="en-US"/>
              </w:rPr>
              <w:t>Learn the rules of derivation, instantiation, and universalization, and apply them in creatively solving problems.</w:t>
            </w:r>
            <w:r>
              <w:rPr>
                <w:rStyle w:val="None"/>
                <w:b w:val="1"/>
                <w:bCs w:val="1"/>
                <w:rtl w:val="0"/>
                <w:lang w:val="en-US"/>
              </w:rPr>
              <w:t xml:space="preserve"> </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4.   </w:t>
            </w:r>
          </w:p>
          <w:p>
            <w:pPr>
              <w:pStyle w:val="Body A"/>
              <w:bidi w:val="0"/>
              <w:ind w:left="0" w:right="0" w:firstLine="0"/>
              <w:jc w:val="left"/>
              <w:rPr>
                <w:rtl w:val="0"/>
              </w:rPr>
            </w:pPr>
            <w:r>
              <w:rPr>
                <w:rStyle w:val="None"/>
                <w:rtl w:val="0"/>
                <w:lang w:val="en-US"/>
              </w:rPr>
              <w:t>Regular homework assignments will assess students</w:t>
            </w:r>
            <w:r>
              <w:rPr>
                <w:rStyle w:val="None"/>
                <w:rtl w:val="0"/>
                <w:lang w:val="en-US"/>
              </w:rPr>
              <w:t xml:space="preserve">’ </w:t>
            </w:r>
            <w:r>
              <w:rPr>
                <w:rStyle w:val="None"/>
                <w:rtl w:val="0"/>
                <w:lang w:val="en-US"/>
              </w:rPr>
              <w:t>ability to learn and apply rules in solving logical problems. Tests will further assess the sophistication by which students can solve problems by creatively employing rules in combination with each other to resolve the problems. Exams will further assess how proficient students are in employing the correct rules. A group project is the culminating project in which each group masters its topic and teaches it to other peer groups.</w:t>
            </w:r>
          </w:p>
        </w:tc>
      </w:tr>
    </w:tbl>
    <w:p>
      <w:pPr>
        <w:pStyle w:val="Body A"/>
        <w:widowControl w:val="0"/>
        <w:jc w:val="center"/>
        <w:rPr>
          <w:rStyle w:val="None"/>
          <w:rFonts w:ascii="Times New Roman" w:cs="Times New Roman" w:hAnsi="Times New Roman" w:eastAsia="Times New Roman"/>
          <w:b w:val="1"/>
          <w:bCs w:val="1"/>
        </w:rPr>
      </w:pPr>
    </w:p>
    <w:p>
      <w:pPr>
        <w:pStyle w:val="Body A"/>
        <w:widowControl w:val="0"/>
        <w:jc w:val="center"/>
        <w:rPr>
          <w:rStyle w:val="None"/>
          <w:rFonts w:ascii="Times New Roman" w:cs="Times New Roman" w:hAnsi="Times New Roman" w:eastAsia="Times New Roman"/>
          <w:b w:val="1"/>
          <w:bCs w:val="1"/>
        </w:rPr>
      </w:pPr>
    </w:p>
    <w:p>
      <w:pPr>
        <w:pStyle w:val="Body A"/>
        <w:widowControl w:val="0"/>
        <w:ind w:left="193" w:hanging="193"/>
        <w:jc w:val="center"/>
        <w:rPr>
          <w:rStyle w:val="None"/>
          <w:rFonts w:ascii="Times New Roman" w:cs="Times New Roman" w:hAnsi="Times New Roman" w:eastAsia="Times New Roman"/>
          <w:b w:val="1"/>
          <w:bCs w:val="1"/>
        </w:rPr>
      </w:pPr>
    </w:p>
    <w:p>
      <w:pPr>
        <w:pStyle w:val="Body A"/>
        <w:widowControl w:val="0"/>
        <w:ind w:left="85" w:hanging="85"/>
        <w:jc w:val="center"/>
        <w:rPr>
          <w:rStyle w:val="None"/>
          <w:rFonts w:ascii="Times New Roman" w:cs="Times New Roman" w:hAnsi="Times New Roman" w:eastAsia="Times New Roman"/>
          <w:b w:val="1"/>
          <w:bCs w:val="1"/>
        </w:rPr>
      </w:pPr>
    </w:p>
    <w:p>
      <w:pPr>
        <w:pStyle w:val="Heading 3"/>
        <w:jc w:val="left"/>
        <w:rPr>
          <w:rStyle w:val="None"/>
          <w:b w:val="0"/>
          <w:bCs w:val="0"/>
        </w:rPr>
      </w:pPr>
      <w:r>
        <w:rPr>
          <w:rStyle w:val="None"/>
          <w:b w:val="0"/>
          <w:bCs w:val="0"/>
          <w:rtl w:val="0"/>
          <w:lang w:val="de-DE"/>
        </w:rPr>
        <w:t>GENRAL EDUCATION LEARNING OUTCOMES/ASSESSMENT METHODS</w:t>
      </w:r>
    </w:p>
    <w:tbl>
      <w:tblPr>
        <w:tblW w:w="94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5040"/>
      </w:tblGrid>
      <w:tr>
        <w:tblPrEx>
          <w:shd w:val="clear" w:color="auto" w:fill="ced7e7"/>
        </w:tblPrEx>
        <w:trPr>
          <w:trHeight w:val="63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rPr>
                <w:rStyle w:val="None"/>
                <w:b w:val="1"/>
                <w:bCs w:val="1"/>
                <w:lang w:val="en-US"/>
              </w:rPr>
            </w:pPr>
          </w:p>
          <w:p>
            <w:pPr>
              <w:pStyle w:val="heading 4"/>
              <w:bidi w:val="0"/>
              <w:ind w:left="0" w:right="0" w:firstLine="0"/>
              <w:jc w:val="center"/>
              <w:rPr>
                <w:rtl w:val="0"/>
              </w:rPr>
            </w:pPr>
            <w:r>
              <w:rPr>
                <w:rStyle w:val="None"/>
                <w:b w:val="1"/>
                <w:bCs w:val="1"/>
                <w:rtl w:val="0"/>
                <w:lang w:val="en-US"/>
              </w:rPr>
              <w:t>LEARNING OUTCOMES</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rPr>
                <w:rStyle w:val="None"/>
                <w:lang w:val="en-US"/>
              </w:rPr>
            </w:pPr>
          </w:p>
          <w:p>
            <w:pPr>
              <w:pStyle w:val="Heading 3"/>
              <w:bidi w:val="0"/>
              <w:ind w:left="0" w:right="0" w:firstLine="0"/>
              <w:jc w:val="center"/>
              <w:rPr>
                <w:rtl w:val="0"/>
              </w:rPr>
            </w:pPr>
            <w:r>
              <w:rPr>
                <w:rStyle w:val="None"/>
                <w:rtl w:val="0"/>
                <w:lang w:val="en-US"/>
              </w:rPr>
              <w:t>ASSESSMENT METHODS</w:t>
            </w:r>
          </w:p>
        </w:tc>
      </w:tr>
      <w:tr>
        <w:tblPrEx>
          <w:shd w:val="clear" w:color="auto" w:fill="ced7e7"/>
        </w:tblPrEx>
        <w:trPr>
          <w:trHeight w:val="662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0"/>
              </w:numPr>
              <w:rPr>
                <w:rFonts w:ascii="Times New Roman" w:hAnsi="Times New Roman"/>
                <w:lang w:val="en-US"/>
              </w:rPr>
            </w:pPr>
            <w:r>
              <w:rPr>
                <w:rStyle w:val="None"/>
                <w:rFonts w:ascii="Times New Roman" w:hAnsi="Times New Roman"/>
                <w:rtl w:val="0"/>
                <w:lang w:val="en-US"/>
              </w:rPr>
              <w:t>KNOWLEDGE:</w:t>
            </w:r>
          </w:p>
          <w:p>
            <w:pPr>
              <w:pStyle w:val="Body A"/>
              <w:bidi w:val="0"/>
              <w:ind w:left="450" w:right="0" w:firstLine="0"/>
              <w:jc w:val="left"/>
              <w:rPr>
                <w:rtl w:val="0"/>
              </w:rPr>
            </w:pPr>
            <w:r>
              <w:rPr>
                <w:rStyle w:val="None"/>
                <w:rtl w:val="0"/>
                <w:lang w:val="en-US"/>
              </w:rPr>
              <w:t>Develop knowledge of logical concepts and rules in order to understand and recognize its relation to other fields. Logical concepts and rules lay out patterns that can be found in natural language, computer programming language, mathematical proofs, and other fields. Deepen knowledge of logical concepts and rules by employing, demonstrating, and creatively applying them in analyzing the validity and invalidity of arguments. In gaining knowledge of logical concepts, the student sets up a framework that can serve as a lifelong tool for thinking critically and examining arguments and truth-functional claims.</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 xml:space="preserve">1. </w:t>
            </w:r>
            <w:r>
              <w:rPr>
                <w:rStyle w:val="None"/>
                <w:rtl w:val="0"/>
                <w:lang w:val="en-US"/>
              </w:rPr>
              <w:t>Class discussion and regular homework assignments assess student acquisition of logical concepts and rules, and how to employ them in assessing arguments for validity. Tests further evaluate students</w:t>
            </w:r>
            <w:r>
              <w:rPr>
                <w:rStyle w:val="None"/>
                <w:rtl w:val="0"/>
                <w:lang w:val="en-US"/>
              </w:rPr>
              <w:t xml:space="preserve">’ </w:t>
            </w:r>
            <w:r>
              <w:rPr>
                <w:rStyle w:val="None"/>
                <w:rtl w:val="0"/>
                <w:lang w:val="en-US"/>
              </w:rPr>
              <w:t>successful application of concepts and rules in more sophisticated problems, demonstrating deep knowledge of the rules. Exams and a group project assess the refinement and mastery of the knowledge and employment of logical concepts and rules.</w:t>
            </w:r>
          </w:p>
        </w:tc>
      </w:tr>
      <w:tr>
        <w:tblPrEx>
          <w:shd w:val="clear" w:color="auto" w:fill="ced7e7"/>
        </w:tblPrEx>
        <w:trPr>
          <w:trHeight w:val="603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2"/>
              </w:numPr>
              <w:rPr>
                <w:rFonts w:ascii="Times New Roman" w:hAnsi="Times New Roman"/>
                <w:lang w:val="en-US"/>
              </w:rPr>
            </w:pPr>
            <w:r>
              <w:rPr>
                <w:rStyle w:val="None"/>
                <w:rFonts w:ascii="Times New Roman" w:hAnsi="Times New Roman"/>
                <w:rtl w:val="0"/>
                <w:lang w:val="en-US"/>
              </w:rPr>
              <w:t>SKILLS:</w:t>
            </w:r>
          </w:p>
          <w:p>
            <w:pPr>
              <w:pStyle w:val="Body A"/>
              <w:bidi w:val="0"/>
              <w:ind w:left="450" w:right="0" w:firstLine="0"/>
              <w:jc w:val="left"/>
              <w:rPr>
                <w:rtl w:val="0"/>
              </w:rPr>
            </w:pPr>
            <w:r>
              <w:rPr>
                <w:rStyle w:val="None"/>
                <w:rtl w:val="0"/>
                <w:lang w:val="en-US"/>
              </w:rPr>
              <w:t>Learn and acquire skills for inquiry, analysis, problem resolution, and effective communication. Logic distills patterns underlying thought and communication that helps students to formulate questions for inquiry and to understand and analyze solutions. It uses quantitative rules, derivations, and analysis to determine formal validity of arguments, but it also deciphers semantic content in translating natural and field-specific language into universal, logical forms. It requires creative and productive thinking in order to apply rules to novel problem sets, which can be solved in a variety of ways.</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2</w:t>
            </w:r>
            <w:r>
              <w:rPr>
                <w:rStyle w:val="None"/>
                <w:rtl w:val="0"/>
                <w:lang w:val="en-US"/>
              </w:rPr>
              <w:t>. Class discussion and regular homework assignments assess student acquisition of the skills necessary for translating, analyzing, and employing logic to solve problems. Tests further evaluate students</w:t>
            </w:r>
            <w:r>
              <w:rPr>
                <w:rStyle w:val="None"/>
                <w:rtl w:val="0"/>
                <w:lang w:val="en-US"/>
              </w:rPr>
              <w:t xml:space="preserve">’ </w:t>
            </w:r>
            <w:r>
              <w:rPr>
                <w:rStyle w:val="None"/>
                <w:rtl w:val="0"/>
                <w:lang w:val="en-US"/>
              </w:rPr>
              <w:t>successful application of concepts and rules to more sophisticated problems, and to apply them creatively to novel problems. Exams and a group project assess the depth of student formulation of questions for inquiry, analysis, problem-solving, and the ability to communicate their facility of such skills through verbal and written communication.</w:t>
            </w:r>
          </w:p>
        </w:tc>
      </w:tr>
      <w:tr>
        <w:tblPrEx>
          <w:shd w:val="clear" w:color="auto" w:fill="ced7e7"/>
        </w:tblPrEx>
        <w:trPr>
          <w:trHeight w:val="483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4"/>
              </w:numPr>
              <w:rPr>
                <w:rFonts w:ascii="Times New Roman" w:hAnsi="Times New Roman"/>
                <w:lang w:val="en-US"/>
              </w:rPr>
            </w:pPr>
            <w:r>
              <w:rPr>
                <w:rStyle w:val="None"/>
                <w:rFonts w:ascii="Times New Roman" w:hAnsi="Times New Roman"/>
                <w:rtl w:val="0"/>
                <w:lang w:val="en-US"/>
              </w:rPr>
              <w:t>INTEGRATION:</w:t>
            </w:r>
          </w:p>
          <w:p>
            <w:pPr>
              <w:pStyle w:val="Body A"/>
              <w:bidi w:val="0"/>
              <w:ind w:left="450" w:right="0" w:firstLine="0"/>
              <w:jc w:val="left"/>
              <w:rPr>
                <w:rtl w:val="0"/>
              </w:rPr>
            </w:pPr>
            <w:r>
              <w:rPr>
                <w:rStyle w:val="None"/>
                <w:rtl w:val="0"/>
                <w:lang w:val="en-US"/>
              </w:rPr>
              <w:t>Understand and navigate logical systems and how they correlate with other disciplinary systems. Employ natural and field-specific data in filling out the content and meaning of sentences, quantificational statements, and arguments. Logic is uniquely poised to integrate divergent areas of study as it examines the patterns that operate beneath natural and technical languages, as well as employ the binary T/F (0/1) method as also found in technical language.</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3.</w:t>
            </w:r>
            <w:r>
              <w:rPr>
                <w:rStyle w:val="None"/>
                <w:rtl w:val="0"/>
                <w:lang w:val="en-US"/>
              </w:rPr>
              <w:t xml:space="preserve"> Class discussion and regular homework assignments assess student understanding of logical systems and their correlation to other systems. Tests further evaluate students</w:t>
            </w:r>
            <w:r>
              <w:rPr>
                <w:rStyle w:val="None"/>
                <w:rtl w:val="0"/>
                <w:lang w:val="en-US"/>
              </w:rPr>
              <w:t xml:space="preserve">’ </w:t>
            </w:r>
            <w:r>
              <w:rPr>
                <w:rStyle w:val="None"/>
                <w:rtl w:val="0"/>
                <w:lang w:val="en-US"/>
              </w:rPr>
              <w:t>successful application of systems to natural and technical examples. Exams and a group project assess the level of integrative thinking.</w:t>
            </w:r>
          </w:p>
        </w:tc>
      </w:tr>
      <w:tr>
        <w:tblPrEx>
          <w:shd w:val="clear" w:color="auto" w:fill="ced7e7"/>
        </w:tblPrEx>
        <w:trPr>
          <w:trHeight w:val="422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6"/>
              </w:numPr>
              <w:rPr>
                <w:rFonts w:ascii="Times New Roman" w:hAnsi="Times New Roman"/>
                <w:lang w:val="en-US"/>
              </w:rPr>
            </w:pPr>
            <w:r>
              <w:rPr>
                <w:rStyle w:val="None"/>
                <w:rFonts w:ascii="Times New Roman" w:hAnsi="Times New Roman"/>
                <w:rtl w:val="0"/>
                <w:lang w:val="en-US"/>
              </w:rPr>
              <w:t>VALUES, ETHICS, AND RELATIONSHIPS:</w:t>
            </w:r>
          </w:p>
          <w:p>
            <w:pPr>
              <w:pStyle w:val="Body A"/>
              <w:bidi w:val="0"/>
              <w:ind w:left="450" w:right="0" w:firstLine="0"/>
              <w:jc w:val="left"/>
              <w:rPr>
                <w:rtl w:val="0"/>
              </w:rPr>
            </w:pPr>
            <w:r>
              <w:rPr>
                <w:rStyle w:val="None"/>
                <w:rtl w:val="0"/>
                <w:lang w:val="en-US"/>
              </w:rPr>
              <w:t>Develop community and civic engagement through dialogue and cooperative work. Evaluate the truth-claims of ethical, political, and social issues employing logical tools. Build personal and academic integrity through abidance to the academic integrity policy, and working with peers with respect to diversity, taking responsibility, and consensus-building.</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 xml:space="preserve">4.   </w:t>
            </w:r>
            <w:r>
              <w:rPr>
                <w:rStyle w:val="None"/>
                <w:rtl w:val="0"/>
                <w:lang w:val="en-US"/>
              </w:rPr>
              <w:t>Class discussions are opportunities to assess the development of respectful and meaningful communication. Regular homework assesses student employment of logical tools to assess truth-claims of value statements and arguments. Tests and exams also assesses the development of logical tools in evaluating valuative claims and arguments. The group project assesses student development in the area taking responsibility, respecting student diversity, and the ability to build consensus.</w:t>
            </w:r>
          </w:p>
        </w:tc>
      </w:tr>
    </w:tbl>
    <w:p>
      <w:pPr>
        <w:pStyle w:val="Heading 3"/>
        <w:widowControl w:val="0"/>
        <w:rPr>
          <w:rStyle w:val="None"/>
          <w:b w:val="0"/>
          <w:bCs w:val="0"/>
        </w:rPr>
      </w:pPr>
    </w:p>
    <w:p>
      <w:pPr>
        <w:pStyle w:val="Body A"/>
        <w:tabs>
          <w:tab w:val="left" w:pos="6540"/>
        </w:tabs>
      </w:pPr>
    </w:p>
    <w:p>
      <w:pPr>
        <w:pStyle w:val="Body A"/>
        <w:tabs>
          <w:tab w:val="left" w:pos="6540"/>
        </w:tabs>
      </w:pPr>
    </w:p>
    <w:p>
      <w:pPr>
        <w:pStyle w:val="Body A"/>
        <w:tabs>
          <w:tab w:val="left" w:pos="6540"/>
        </w:tabs>
        <w:rPr>
          <w:rStyle w:val="None"/>
          <w:rFonts w:ascii="Cambria" w:cs="Cambria" w:hAnsi="Cambria" w:eastAsia="Cambria"/>
          <w:b w:val="1"/>
          <w:bCs w:val="1"/>
          <w:u w:val="single"/>
        </w:rPr>
      </w:pPr>
      <w:r>
        <w:rPr>
          <w:rStyle w:val="None"/>
          <w:rFonts w:ascii="Cambria" w:cs="Cambria" w:hAnsi="Cambria" w:eastAsia="Cambria"/>
          <w:b w:val="1"/>
          <w:bCs w:val="1"/>
          <w:u w:val="single"/>
          <w:rtl w:val="0"/>
          <w:lang w:val="en-US"/>
        </w:rPr>
        <w:t>SCOPE OF ASSIGNMENTS and other course requirements</w:t>
      </w:r>
    </w:p>
    <w:p>
      <w:pPr>
        <w:pStyle w:val="Body A"/>
        <w:rPr>
          <w:rStyle w:val="None"/>
          <w:rFonts w:ascii="Times New Roman" w:cs="Times New Roman" w:hAnsi="Times New Roman" w:eastAsia="Times New Roman"/>
        </w:rPr>
      </w:pPr>
    </w:p>
    <w:p>
      <w:pPr>
        <w:pStyle w:val="Body A"/>
      </w:pPr>
      <w:r>
        <w:rPr>
          <w:rtl w:val="0"/>
        </w:rPr>
        <w:t xml:space="preserve">The scope of assignments includes regular homework assignments, a paper, a group project which leads to a presentation, regular tests, and an exam. </w:t>
      </w:r>
    </w:p>
    <w:p>
      <w:pPr>
        <w:pStyle w:val="Body A"/>
      </w:pPr>
    </w:p>
    <w:p>
      <w:pPr>
        <w:pStyle w:val="Body A"/>
        <w:numPr>
          <w:ilvl w:val="0"/>
          <w:numId w:val="18"/>
        </w:numPr>
        <w:rPr>
          <w:lang w:val="en-US"/>
        </w:rPr>
      </w:pPr>
      <w:r>
        <w:rPr>
          <w:rStyle w:val="None"/>
          <w:u w:val="single"/>
          <w:rtl w:val="0"/>
          <w:lang w:val="en-US"/>
        </w:rPr>
        <w:t>Regular assignments</w:t>
      </w:r>
      <w:r>
        <w:rPr>
          <w:rtl w:val="0"/>
          <w:lang w:val="en-US"/>
        </w:rPr>
        <w:t>: Students are asked to read passages from</w:t>
      </w:r>
      <w:r>
        <w:rPr>
          <w:rStyle w:val="None"/>
          <w:rFonts w:ascii="Cambria" w:cs="Cambria" w:hAnsi="Cambria" w:eastAsia="Cambria"/>
          <w:i w:val="1"/>
          <w:iCs w:val="1"/>
          <w:rtl w:val="0"/>
          <w:lang w:val="en-US"/>
        </w:rPr>
        <w:t xml:space="preserve"> A Concise Introduction to Logic</w:t>
      </w:r>
      <w:r>
        <w:rPr>
          <w:rtl w:val="0"/>
          <w:lang w:val="en-US"/>
        </w:rPr>
        <w:t xml:space="preserve"> and do corresponding exercises in the book. I provide feedback about their answers. I also ask students to demonstrate their work by writing out solutions to problems on the chalk board. </w:t>
      </w:r>
    </w:p>
    <w:p>
      <w:pPr>
        <w:pStyle w:val="Body A"/>
        <w:numPr>
          <w:ilvl w:val="0"/>
          <w:numId w:val="18"/>
        </w:numPr>
        <w:rPr>
          <w:lang w:val="en-US"/>
        </w:rPr>
      </w:pPr>
      <w:r>
        <w:rPr>
          <w:rStyle w:val="None"/>
          <w:u w:val="single"/>
          <w:rtl w:val="0"/>
          <w:lang w:val="en-US"/>
        </w:rPr>
        <w:t>Regular tests</w:t>
      </w:r>
      <w:r>
        <w:rPr>
          <w:rtl w:val="0"/>
          <w:lang w:val="en-US"/>
        </w:rPr>
        <w:t xml:space="preserve"> are administered to check student comprehension of concepts and rules, and their proficiency in applying them to concrete problems.</w:t>
      </w:r>
    </w:p>
    <w:p>
      <w:pPr>
        <w:pStyle w:val="Body A"/>
        <w:numPr>
          <w:ilvl w:val="0"/>
          <w:numId w:val="18"/>
        </w:numPr>
        <w:rPr>
          <w:lang w:val="en-US"/>
        </w:rPr>
      </w:pPr>
      <w:r>
        <w:rPr>
          <w:rStyle w:val="None"/>
          <w:u w:val="single"/>
          <w:rtl w:val="0"/>
          <w:lang w:val="en-US"/>
        </w:rPr>
        <w:t>A mid-term paper</w:t>
      </w:r>
      <w:r>
        <w:rPr>
          <w:rtl w:val="0"/>
          <w:lang w:val="en-US"/>
        </w:rPr>
        <w:t xml:space="preserve"> requires students to employ the concepts of deductive and inductive reasoning, and validity and invalidity to scientific reasoning and to the concept of </w:t>
      </w:r>
      <w:r>
        <w:rPr>
          <w:rStyle w:val="None"/>
          <w:rFonts w:ascii="Cambria" w:cs="Cambria" w:hAnsi="Cambria" w:eastAsia="Cambria"/>
          <w:i w:val="1"/>
          <w:iCs w:val="1"/>
          <w:rtl w:val="0"/>
          <w:lang w:val="en-US"/>
        </w:rPr>
        <w:t>falsifiability</w:t>
      </w:r>
      <w:r>
        <w:rPr>
          <w:rtl w:val="0"/>
          <w:lang w:val="en-US"/>
        </w:rPr>
        <w:t>. Students will read an excerpt from Karl Popper</w:t>
      </w:r>
      <w:r>
        <w:rPr>
          <w:rtl w:val="0"/>
          <w:lang w:val="en-US"/>
        </w:rPr>
        <w:t>’</w:t>
      </w:r>
      <w:r>
        <w:rPr>
          <w:rtl w:val="0"/>
          <w:lang w:val="en-US"/>
        </w:rPr>
        <w:t xml:space="preserve">s </w:t>
      </w:r>
      <w:r>
        <w:rPr>
          <w:rStyle w:val="None"/>
          <w:rFonts w:ascii="Cambria" w:cs="Cambria" w:hAnsi="Cambria" w:eastAsia="Cambria"/>
          <w:i w:val="1"/>
          <w:iCs w:val="1"/>
          <w:rtl w:val="0"/>
          <w:lang w:val="en-US"/>
        </w:rPr>
        <w:t>A Logic of Scientific Discovery</w:t>
      </w:r>
      <w:r>
        <w:rPr>
          <w:rtl w:val="0"/>
          <w:lang w:val="en-US"/>
        </w:rPr>
        <w:t xml:space="preserve">, and write a paper exploring the relationship between particular observations and abstract hypotheses/theories. Students will also be presenting their findings by applying the concept of falsifiability in the field by formulating a hypothesis that can be falsified and testing it through observation. </w:t>
      </w:r>
    </w:p>
    <w:p>
      <w:pPr>
        <w:pStyle w:val="Body A"/>
        <w:numPr>
          <w:ilvl w:val="0"/>
          <w:numId w:val="18"/>
        </w:numPr>
        <w:rPr>
          <w:lang w:val="en-US"/>
        </w:rPr>
      </w:pPr>
      <w:r>
        <w:rPr>
          <w:rtl w:val="0"/>
          <w:lang w:val="en-US"/>
        </w:rPr>
        <w:t xml:space="preserve">The culminating </w:t>
      </w:r>
      <w:r>
        <w:rPr>
          <w:rStyle w:val="None"/>
          <w:u w:val="single"/>
          <w:rtl w:val="0"/>
          <w:lang w:val="en-US"/>
        </w:rPr>
        <w:t>final group project</w:t>
      </w:r>
      <w:r>
        <w:rPr>
          <w:rtl w:val="0"/>
          <w:lang w:val="en-US"/>
        </w:rPr>
        <w:t xml:space="preserve"> will consist of members working towards mastery of a given topic in symbolic logic in order to teach it to their peers. They use powerpoint to create slides and make a visual and oral presentation in which they thoroughly cover their assigned topic. For example, one group may take ownership of teaching rules of implication by presenting the general principles that govern their application and by using specific problems to demonstration their applications. The goal is to provide a thorough review of topics for the </w:t>
      </w:r>
      <w:r>
        <w:rPr>
          <w:rStyle w:val="None"/>
          <w:u w:val="single"/>
          <w:rtl w:val="0"/>
          <w:lang w:val="en-US"/>
        </w:rPr>
        <w:t>final exam,</w:t>
      </w:r>
      <w:r>
        <w:rPr>
          <w:rtl w:val="0"/>
          <w:lang w:val="en-US"/>
        </w:rPr>
        <w:t xml:space="preserve"> which is culminating.</w:t>
      </w: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tl w:val="0"/>
        </w:rPr>
        <w:t xml:space="preserve">METHOD OF GRADING </w:t>
      </w:r>
      <w:r>
        <w:rPr>
          <w:rtl w:val="0"/>
        </w:rPr>
        <w:t xml:space="preserve">– </w:t>
      </w:r>
      <w:r>
        <w:rPr>
          <w:rtl w:val="0"/>
        </w:rPr>
        <w:t>elements and weight of factors determining the students</w:t>
      </w:r>
      <w:r>
        <w:rPr>
          <w:rtl w:val="0"/>
        </w:rPr>
        <w:t xml:space="preserve">’ </w:t>
      </w:r>
      <w:r>
        <w:rPr>
          <w:rtl w:val="0"/>
        </w:rPr>
        <w:t>grade</w:t>
      </w:r>
    </w:p>
    <w:p>
      <w:pPr>
        <w:pStyle w:val="Body A"/>
        <w:rPr>
          <w:rStyle w:val="None"/>
          <w:rFonts w:ascii="Times New Roman" w:cs="Times New Roman" w:hAnsi="Times New Roman" w:eastAsia="Times New Roman"/>
        </w:rPr>
      </w:pPr>
    </w:p>
    <w:p>
      <w:pPr>
        <w:pStyle w:val="Body A"/>
      </w:pPr>
      <w:r>
        <w:rPr>
          <w:rtl w:val="0"/>
        </w:rPr>
        <w:t>5% Class Participation</w:t>
      </w:r>
    </w:p>
    <w:p>
      <w:pPr>
        <w:pStyle w:val="Body A"/>
      </w:pPr>
      <w:r>
        <w:rPr>
          <w:rtl w:val="0"/>
        </w:rPr>
        <w:t>15% Homework</w:t>
      </w:r>
    </w:p>
    <w:p>
      <w:pPr>
        <w:pStyle w:val="Body A"/>
      </w:pPr>
      <w:r>
        <w:rPr>
          <w:rtl w:val="0"/>
        </w:rPr>
        <w:t>40% Tests (4 tests worth 10% each)</w:t>
      </w:r>
    </w:p>
    <w:p>
      <w:pPr>
        <w:pStyle w:val="Body A"/>
      </w:pPr>
      <w:r>
        <w:rPr>
          <w:rtl w:val="0"/>
        </w:rPr>
        <w:t>10% Paper</w:t>
      </w:r>
    </w:p>
    <w:p>
      <w:pPr>
        <w:pStyle w:val="Body A"/>
      </w:pPr>
      <w:r>
        <w:rPr>
          <w:rtl w:val="0"/>
        </w:rPr>
        <w:t>10% Group Project Presentation</w:t>
      </w:r>
    </w:p>
    <w:p>
      <w:pPr>
        <w:pStyle w:val="Body A"/>
        <w:rPr>
          <w:rStyle w:val="None"/>
          <w:lang w:val="pt-PT"/>
        </w:rPr>
      </w:pPr>
      <w:r>
        <w:rPr>
          <w:rStyle w:val="None"/>
          <w:rtl w:val="0"/>
          <w:lang w:val="pt-PT"/>
        </w:rPr>
        <w:t>20% Final Exam</w:t>
      </w: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lang w:val="es-ES_tradnl"/>
        </w:rPr>
      </w:pPr>
      <w:r>
        <w:rPr>
          <w:rStyle w:val="None"/>
          <w:rtl w:val="0"/>
          <w:lang w:val="es-ES_tradnl"/>
        </w:rPr>
        <w:t>ACADEMIC INTEGRITY POLICY STATEMENT</w:t>
      </w:r>
    </w:p>
    <w:p>
      <w:pPr>
        <w:pStyle w:val="Body A"/>
        <w:rPr>
          <w:rStyle w:val="None"/>
          <w:rFonts w:ascii="Times New Roman" w:cs="Times New Roman" w:hAnsi="Times New Roman" w:eastAsia="Times New Roman"/>
        </w:rPr>
      </w:pPr>
    </w:p>
    <w:p>
      <w:pPr>
        <w:pStyle w:val="Body A"/>
      </w:pPr>
      <w:r>
        <w:rPr>
          <w:rtl w:val="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pPr>
        <w:pStyle w:val="Body A"/>
        <w:rPr>
          <w:rStyle w:val="None"/>
          <w:rFonts w:ascii="Times New Roman" w:cs="Times New Roman" w:hAnsi="Times New Roman" w:eastAsia="Times New Roman"/>
        </w:rPr>
      </w:pPr>
    </w:p>
    <w:p>
      <w:pPr>
        <w:pStyle w:val="Body A"/>
        <w:pBdr>
          <w:top w:val="nil"/>
          <w:left w:val="nil"/>
          <w:bottom w:val="single" w:color="000000" w:sz="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Heading 2"/>
        <w:tabs>
          <w:tab w:val="left" w:pos="3420"/>
          <w:tab w:val="right" w:pos="7560"/>
          <w:tab w:val="left" w:pos="7740"/>
          <w:tab w:val="left" w:pos="8140"/>
          <w:tab w:val="right" w:pos="8620"/>
        </w:tabs>
        <w:spacing w:line="360" w:lineRule="auto"/>
      </w:pPr>
      <w:r>
        <w:rPr>
          <w:rtl w:val="0"/>
          <w:lang w:val="en-US"/>
        </w:rPr>
        <w:t xml:space="preserve">Attached course outline written by:  Laureen Park and Jonas Reitz  </w:t>
        <w:tab/>
        <w:t>Date:  2/16/15</w:t>
      </w:r>
    </w:p>
    <w:p>
      <w:pPr>
        <w:pStyle w:val="Heading 2"/>
        <w:tabs>
          <w:tab w:val="left" w:pos="3420"/>
          <w:tab w:val="right" w:pos="7560"/>
          <w:tab w:val="left" w:pos="7740"/>
          <w:tab w:val="left" w:pos="8140"/>
          <w:tab w:val="right" w:pos="8620"/>
        </w:tabs>
        <w:spacing w:line="360" w:lineRule="auto"/>
      </w:pPr>
      <w:r>
        <w:rPr>
          <w:rStyle w:val="None"/>
          <w:rtl w:val="0"/>
          <w:lang w:val="de-DE"/>
        </w:rPr>
        <w:t>Reviewed/Revised by: Laureen Park</w:t>
        <w:tab/>
        <w:t xml:space="preserve">   Date:  11/5/18</w:t>
      </w:r>
    </w:p>
    <w:p>
      <w:pPr>
        <w:pStyle w:val="Body A"/>
        <w:rPr>
          <w:rStyle w:val="None"/>
          <w:lang w:val="de-DE"/>
        </w:rPr>
      </w:pPr>
      <w:r>
        <w:rPr>
          <w:rStyle w:val="None"/>
          <w:rtl w:val="0"/>
          <w:lang w:val="de-DE"/>
        </w:rPr>
        <w:tab/>
        <w:tab/>
        <w:tab/>
        <w:tab/>
        <w:tab/>
        <w:tab/>
        <w:tab/>
        <w:tab/>
        <w:tab/>
        <w:t xml:space="preserve">       3/21/19</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lang w:val="fr-FR"/>
        </w:rPr>
      </w:pPr>
      <w:r>
        <w:rPr>
          <w:rStyle w:val="None"/>
          <w:rFonts w:ascii="Cambria" w:cs="Cambria" w:hAnsi="Cambria" w:eastAsia="Cambria"/>
          <w:i w:val="1"/>
          <w:iCs w:val="1"/>
          <w:rtl w:val="0"/>
          <w:lang w:val="fr-FR"/>
        </w:rPr>
        <w:t>Bibliography</w:t>
      </w:r>
    </w:p>
    <w:p>
      <w:pPr>
        <w:pStyle w:val="Body A"/>
        <w:rPr>
          <w:rStyle w:val="None"/>
          <w:rFonts w:ascii="Times New Roman" w:cs="Times New Roman" w:hAnsi="Times New Roman" w:eastAsia="Times New Roman"/>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Ambrose, Alice and Lazerowitz, Morris. </w:t>
      </w:r>
      <w:r>
        <w:rPr>
          <w:rStyle w:val="None"/>
          <w:rFonts w:ascii="Times New Roman" w:hAnsi="Times New Roman"/>
          <w:i w:val="1"/>
          <w:iCs w:val="1"/>
          <w:sz w:val="24"/>
          <w:szCs w:val="24"/>
          <w:rtl w:val="0"/>
          <w:lang w:val="en-US"/>
        </w:rPr>
        <w:t>Logic: The Theory of Formal Inference.</w:t>
      </w:r>
      <w:r>
        <w:rPr>
          <w:rStyle w:val="None"/>
          <w:rFonts w:ascii="Times New Roman" w:hAnsi="Times New Roman"/>
          <w:sz w:val="24"/>
          <w:szCs w:val="24"/>
          <w:rtl w:val="0"/>
          <w:lang w:val="en-US"/>
        </w:rPr>
        <w:t xml:space="preserve"> New York: Holt, Rinehart, Winston, 1961.</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Barker-Plummer, David, Barwise, Jon, and Etchemendy, John. </w:t>
      </w:r>
      <w:r>
        <w:rPr>
          <w:rStyle w:val="None"/>
          <w:rFonts w:ascii="Times New Roman" w:hAnsi="Times New Roman"/>
          <w:i w:val="1"/>
          <w:iCs w:val="1"/>
          <w:sz w:val="24"/>
          <w:szCs w:val="24"/>
          <w:rtl w:val="0"/>
          <w:lang w:val="en-US"/>
        </w:rPr>
        <w:t>Language, Proof, and Logic</w:t>
      </w:r>
      <w:r>
        <w:rPr>
          <w:rStyle w:val="None"/>
          <w:rFonts w:ascii="Times New Roman" w:hAnsi="Times New Roman"/>
          <w:sz w:val="24"/>
          <w:szCs w:val="24"/>
          <w:rtl w:val="0"/>
          <w:lang w:val="en-US"/>
        </w:rPr>
        <w:t>, 2</w:t>
      </w:r>
      <w:r>
        <w:rPr>
          <w:rStyle w:val="None"/>
          <w:rFonts w:ascii="Times New Roman" w:hAnsi="Times New Roman"/>
          <w:sz w:val="24"/>
          <w:szCs w:val="24"/>
          <w:vertAlign w:val="superscript"/>
          <w:rtl w:val="0"/>
          <w:lang w:val="en-US"/>
        </w:rPr>
        <w:t>nd</w:t>
      </w:r>
      <w:r>
        <w:rPr>
          <w:rStyle w:val="None"/>
          <w:rFonts w:ascii="Times New Roman" w:hAnsi="Times New Roman"/>
          <w:sz w:val="24"/>
          <w:szCs w:val="24"/>
          <w:rtl w:val="0"/>
          <w:lang w:val="en-US"/>
        </w:rPr>
        <w:t xml:space="preserve"> Edition. Stanford: CSLI Publication, 2011.</w:t>
      </w:r>
    </w:p>
    <w:p>
      <w:pPr>
        <w:pStyle w:val="No Spacing"/>
        <w:rPr>
          <w:rStyle w:val="None"/>
          <w:rFonts w:ascii="Times New Roman" w:cs="Times New Roman" w:hAnsi="Times New Roman" w:eastAsia="Times New Roman"/>
          <w:sz w:val="24"/>
          <w:szCs w:val="24"/>
        </w:rPr>
      </w:pPr>
    </w:p>
    <w:p>
      <w:pPr>
        <w:pStyle w:val="Heading"/>
        <w:rPr>
          <w:rStyle w:val="None"/>
          <w:sz w:val="24"/>
          <w:szCs w:val="24"/>
        </w:rPr>
      </w:pPr>
      <w:r>
        <w:rPr>
          <w:rStyle w:val="None"/>
          <w:sz w:val="24"/>
          <w:szCs w:val="24"/>
          <w:rtl w:val="0"/>
          <w:lang w:val="fr-FR"/>
        </w:rPr>
        <w:t>Deschamps, Jean-Pierre, Valderrama, Elena, and Ter</w:t>
      </w:r>
      <w:r>
        <w:rPr>
          <w:rStyle w:val="None"/>
          <w:sz w:val="24"/>
          <w:szCs w:val="24"/>
          <w:rtl w:val="0"/>
          <w:lang w:val="fr-FR"/>
        </w:rPr>
        <w:t>é</w:t>
      </w:r>
      <w:r>
        <w:rPr>
          <w:rStyle w:val="None"/>
          <w:sz w:val="24"/>
          <w:szCs w:val="24"/>
          <w:rtl w:val="0"/>
          <w:lang w:val="es-ES_tradnl"/>
        </w:rPr>
        <w:t>s, Llu</w:t>
      </w:r>
      <w:r>
        <w:rPr>
          <w:rStyle w:val="None"/>
          <w:sz w:val="24"/>
          <w:szCs w:val="24"/>
          <w:rtl w:val="0"/>
          <w:lang w:val="fr-FR"/>
        </w:rPr>
        <w:t>í</w:t>
      </w:r>
      <w:r>
        <w:rPr>
          <w:rStyle w:val="None"/>
          <w:sz w:val="24"/>
          <w:szCs w:val="24"/>
          <w:rtl w:val="0"/>
          <w:lang w:val="pt-PT"/>
        </w:rPr>
        <w:t xml:space="preserve">s. </w:t>
      </w:r>
      <w:r>
        <w:rPr>
          <w:rStyle w:val="None"/>
          <w:i w:val="1"/>
          <w:iCs w:val="1"/>
          <w:sz w:val="24"/>
          <w:szCs w:val="24"/>
          <w:rtl w:val="0"/>
          <w:lang w:val="en-US"/>
        </w:rPr>
        <w:t>Digital Systems: From Logic Gates to Processors</w:t>
      </w:r>
      <w:r>
        <w:rPr>
          <w:rStyle w:val="None"/>
          <w:sz w:val="24"/>
          <w:szCs w:val="24"/>
          <w:rtl w:val="0"/>
          <w:lang w:val="en-US"/>
        </w:rPr>
        <w:t>. New York: Springer, 2016.</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Gabbar, Hossam. </w:t>
      </w:r>
      <w:r>
        <w:rPr>
          <w:rStyle w:val="None"/>
          <w:rFonts w:ascii="Times New Roman" w:hAnsi="Times New Roman"/>
          <w:i w:val="1"/>
          <w:iCs w:val="1"/>
          <w:color w:val="333333"/>
          <w:sz w:val="24"/>
          <w:szCs w:val="24"/>
          <w:u w:color="333333"/>
          <w:shd w:val="clear" w:color="auto" w:fill="ffffff"/>
          <w:rtl w:val="0"/>
          <w:lang w:val="en-US"/>
        </w:rPr>
        <w:t>Modern Formal Methods and Applications</w:t>
      </w:r>
      <w:r>
        <w:rPr>
          <w:rStyle w:val="None"/>
          <w:rFonts w:ascii="Times New Roman" w:hAnsi="Times New Roman"/>
          <w:color w:val="333333"/>
          <w:sz w:val="24"/>
          <w:szCs w:val="24"/>
          <w:u w:color="333333"/>
          <w:shd w:val="clear" w:color="auto" w:fill="ffffff"/>
          <w:rtl w:val="0"/>
          <w:lang w:val="en-US"/>
        </w:rPr>
        <w:t>. Dordrecht:</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Springer,</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2006.</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Hausman, Alan, Khane, Howard, Tidman, Paul. </w:t>
      </w:r>
      <w:r>
        <w:rPr>
          <w:rStyle w:val="None"/>
          <w:rFonts w:ascii="Times New Roman" w:hAnsi="Times New Roman"/>
          <w:i w:val="1"/>
          <w:iCs w:val="1"/>
          <w:color w:val="333333"/>
          <w:sz w:val="24"/>
          <w:szCs w:val="24"/>
          <w:u w:color="333333"/>
          <w:shd w:val="clear" w:color="auto" w:fill="ffffff"/>
          <w:rtl w:val="0"/>
          <w:lang w:val="en-US"/>
        </w:rPr>
        <w:t>Logic and Philosophy: A Modern Introduction</w:t>
      </w:r>
      <w:r>
        <w:rPr>
          <w:rStyle w:val="None"/>
          <w:rFonts w:ascii="Times New Roman" w:hAnsi="Times New Roman"/>
          <w:color w:val="333333"/>
          <w:sz w:val="24"/>
          <w:szCs w:val="24"/>
          <w:u w:color="333333"/>
          <w:shd w:val="clear" w:color="auto" w:fill="ffffff"/>
          <w:rtl w:val="0"/>
          <w:lang w:val="en-US"/>
        </w:rPr>
        <w:t>, 10</w:t>
      </w:r>
      <w:r>
        <w:rPr>
          <w:rStyle w:val="None"/>
          <w:rFonts w:ascii="Times New Roman" w:hAnsi="Times New Roman"/>
          <w:color w:val="333333"/>
          <w:sz w:val="24"/>
          <w:szCs w:val="24"/>
          <w:u w:color="333333"/>
          <w:shd w:val="clear" w:color="auto" w:fill="ffffff"/>
          <w:vertAlign w:val="superscript"/>
          <w:rtl w:val="0"/>
          <w:lang w:val="en-US"/>
        </w:rPr>
        <w:t>th</w:t>
      </w:r>
      <w:r>
        <w:rPr>
          <w:rStyle w:val="None"/>
          <w:rFonts w:ascii="Times New Roman" w:hAnsi="Times New Roman"/>
          <w:color w:val="333333"/>
          <w:sz w:val="24"/>
          <w:szCs w:val="24"/>
          <w:u w:color="333333"/>
          <w:shd w:val="clear" w:color="auto" w:fill="ffffff"/>
          <w:rtl w:val="0"/>
          <w:lang w:val="en-US"/>
        </w:rPr>
        <w:t xml:space="preserve"> edition. Belmont: Thomson Wadsworth, 2007.</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sz w:val="24"/>
          <w:szCs w:val="24"/>
          <w:rtl w:val="0"/>
          <w:lang w:val="en-US"/>
        </w:rPr>
        <w:t xml:space="preserve">Hurley, Patrick J. </w:t>
      </w:r>
      <w:r>
        <w:rPr>
          <w:rStyle w:val="None"/>
          <w:rFonts w:ascii="Times New Roman" w:hAnsi="Times New Roman"/>
          <w:i w:val="1"/>
          <w:iCs w:val="1"/>
          <w:sz w:val="24"/>
          <w:szCs w:val="24"/>
          <w:rtl w:val="0"/>
          <w:lang w:val="en-US"/>
        </w:rPr>
        <w:t>A Concise Introduction to Logic</w:t>
      </w:r>
      <w:r>
        <w:rPr>
          <w:rStyle w:val="None"/>
          <w:rFonts w:ascii="Times New Roman" w:hAnsi="Times New Roman"/>
          <w:sz w:val="24"/>
          <w:szCs w:val="24"/>
          <w:rtl w:val="0"/>
          <w:lang w:val="en-US"/>
        </w:rPr>
        <w:t>, 10</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Edition. Australia: Thomson Wadsworth Publishers, 2003.</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Heading"/>
        <w:rPr>
          <w:rStyle w:val="None"/>
          <w:sz w:val="24"/>
          <w:szCs w:val="24"/>
        </w:rPr>
      </w:pPr>
      <w:r>
        <w:rPr>
          <w:rStyle w:val="None"/>
          <w:color w:val="333333"/>
          <w:sz w:val="24"/>
          <w:szCs w:val="24"/>
          <w:u w:color="333333"/>
          <w:shd w:val="clear" w:color="auto" w:fill="ffffff"/>
          <w:rtl w:val="0"/>
          <w:lang w:val="it-IT"/>
        </w:rPr>
        <w:t xml:space="preserve">Gaddis, Tony. </w:t>
      </w:r>
      <w:r>
        <w:rPr>
          <w:rStyle w:val="None"/>
          <w:i w:val="1"/>
          <w:iCs w:val="1"/>
          <w:sz w:val="24"/>
          <w:szCs w:val="24"/>
          <w:rtl w:val="0"/>
          <w:lang w:val="en-US"/>
        </w:rPr>
        <w:t>Starting Out with Programming Logic and Design</w:t>
      </w:r>
      <w:r>
        <w:rPr>
          <w:rStyle w:val="None"/>
          <w:sz w:val="24"/>
          <w:szCs w:val="24"/>
          <w:rtl w:val="0"/>
          <w:lang w:val="fr-FR"/>
        </w:rPr>
        <w:t>, 5</w:t>
      </w:r>
      <w:r>
        <w:rPr>
          <w:rStyle w:val="None"/>
          <w:sz w:val="24"/>
          <w:szCs w:val="24"/>
          <w:vertAlign w:val="superscript"/>
          <w:rtl w:val="0"/>
          <w:lang w:val="en-US"/>
        </w:rPr>
        <w:t>th</w:t>
      </w:r>
      <w:r>
        <w:rPr>
          <w:rStyle w:val="None"/>
          <w:sz w:val="24"/>
          <w:szCs w:val="24"/>
          <w:rtl w:val="0"/>
          <w:lang w:val="en-US"/>
        </w:rPr>
        <w:t xml:space="preserve"> edition. New York: Pearson, 2018.</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Kleene, Stephen Cole. </w:t>
      </w:r>
      <w:r>
        <w:rPr>
          <w:rStyle w:val="None"/>
          <w:rFonts w:ascii="Times New Roman" w:hAnsi="Times New Roman"/>
          <w:i w:val="1"/>
          <w:iCs w:val="1"/>
          <w:color w:val="333333"/>
          <w:sz w:val="24"/>
          <w:szCs w:val="24"/>
          <w:u w:color="333333"/>
          <w:shd w:val="clear" w:color="auto" w:fill="ffffff"/>
          <w:rtl w:val="0"/>
          <w:lang w:val="en-US"/>
        </w:rPr>
        <w:t xml:space="preserve">Mathematical Logic. </w:t>
      </w:r>
      <w:r>
        <w:rPr>
          <w:rStyle w:val="None"/>
          <w:rFonts w:ascii="Times New Roman" w:hAnsi="Times New Roman"/>
          <w:color w:val="333333"/>
          <w:sz w:val="24"/>
          <w:szCs w:val="24"/>
          <w:u w:color="333333"/>
          <w:shd w:val="clear" w:color="auto" w:fill="ffffff"/>
          <w:rtl w:val="0"/>
          <w:lang w:val="en-US"/>
        </w:rPr>
        <w:t>Mineola: Dover, 1967.</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Heading"/>
        <w:rPr>
          <w:rStyle w:val="None"/>
          <w:color w:val="333333"/>
          <w:sz w:val="24"/>
          <w:szCs w:val="24"/>
          <w:u w:color="333333"/>
          <w:shd w:val="clear" w:color="auto" w:fill="ffffff"/>
        </w:rPr>
      </w:pPr>
      <w:r>
        <w:rPr>
          <w:rStyle w:val="None"/>
          <w:sz w:val="24"/>
          <w:szCs w:val="24"/>
          <w:rtl w:val="0"/>
          <w:lang w:val="it-IT"/>
        </w:rPr>
        <w:t xml:space="preserve">Mano, Morris, Kime, Charles. </w:t>
      </w:r>
      <w:r>
        <w:rPr>
          <w:rStyle w:val="None"/>
          <w:i w:val="1"/>
          <w:iCs w:val="1"/>
          <w:sz w:val="24"/>
          <w:szCs w:val="24"/>
          <w:rtl w:val="0"/>
          <w:lang w:val="en-US"/>
        </w:rPr>
        <w:t>Logic and Computer Design Fundamentals</w:t>
      </w:r>
      <w:r>
        <w:rPr>
          <w:rStyle w:val="None"/>
          <w:sz w:val="24"/>
          <w:szCs w:val="24"/>
          <w:rtl w:val="0"/>
          <w:lang w:val="en-US"/>
        </w:rPr>
        <w:t>. New York: Pearson, 1999.</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Mazur, Joseph. </w:t>
      </w:r>
      <w:r>
        <w:rPr>
          <w:rStyle w:val="None"/>
          <w:rFonts w:ascii="Times New Roman" w:hAnsi="Times New Roman"/>
          <w:i w:val="1"/>
          <w:iCs w:val="1"/>
          <w:color w:val="333333"/>
          <w:sz w:val="24"/>
          <w:szCs w:val="24"/>
          <w:u w:color="333333"/>
          <w:shd w:val="clear" w:color="auto" w:fill="ffffff"/>
          <w:rtl w:val="0"/>
          <w:lang w:val="en-US"/>
        </w:rPr>
        <w:t>Euclid in the rainforest :</w:t>
      </w:r>
      <w:r>
        <w:rPr>
          <w:rStyle w:val="None"/>
          <w:rFonts w:ascii="Times New Roman" w:hAnsi="Times New Roman" w:hint="default"/>
          <w:i w:val="1"/>
          <w:iCs w:val="1"/>
          <w:color w:val="333333"/>
          <w:sz w:val="24"/>
          <w:szCs w:val="24"/>
          <w:u w:color="333333"/>
          <w:shd w:val="clear" w:color="auto" w:fill="ffffff"/>
          <w:rtl w:val="0"/>
          <w:lang w:val="en-US"/>
        </w:rPr>
        <w:t> </w:t>
      </w:r>
      <w:r>
        <w:rPr>
          <w:rStyle w:val="None"/>
          <w:rFonts w:ascii="Times New Roman" w:hAnsi="Times New Roman"/>
          <w:i w:val="1"/>
          <w:iCs w:val="1"/>
          <w:color w:val="333333"/>
          <w:sz w:val="24"/>
          <w:szCs w:val="24"/>
          <w:u w:color="333333"/>
          <w:shd w:val="clear" w:color="auto" w:fill="ffffff"/>
          <w:rtl w:val="0"/>
          <w:lang w:val="en-US"/>
        </w:rPr>
        <w:t>discovering the universal truth in logic and math</w:t>
      </w:r>
      <w:r>
        <w:rPr>
          <w:rStyle w:val="None"/>
          <w:rFonts w:ascii="Times New Roman" w:hAnsi="Times New Roman"/>
          <w:color w:val="333333"/>
          <w:sz w:val="24"/>
          <w:szCs w:val="24"/>
          <w:u w:color="333333"/>
          <w:shd w:val="clear" w:color="auto" w:fill="ffffff"/>
          <w:rtl w:val="0"/>
          <w:lang w:val="en-US"/>
        </w:rPr>
        <w:t>. New York:</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Plume,</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2006.</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Shapiro, Stewart, Ed. </w:t>
      </w:r>
      <w:r>
        <w:rPr>
          <w:rStyle w:val="None"/>
          <w:rFonts w:ascii="Times New Roman" w:hAnsi="Times New Roman"/>
          <w:i w:val="1"/>
          <w:iCs w:val="1"/>
          <w:color w:val="333333"/>
          <w:sz w:val="24"/>
          <w:szCs w:val="24"/>
          <w:u w:color="333333"/>
          <w:shd w:val="clear" w:color="auto" w:fill="ffffff"/>
          <w:rtl w:val="0"/>
          <w:lang w:val="en-US"/>
        </w:rPr>
        <w:t>The Oxford handbook of philosophy of mathematics and logic</w:t>
      </w:r>
      <w:r>
        <w:rPr>
          <w:rStyle w:val="None"/>
          <w:rFonts w:ascii="Times New Roman" w:hAnsi="Times New Roman"/>
          <w:color w:val="333333"/>
          <w:sz w:val="24"/>
          <w:szCs w:val="24"/>
          <w:u w:color="333333"/>
          <w:shd w:val="clear" w:color="auto" w:fill="ffffff"/>
          <w:rtl w:val="0"/>
          <w:lang w:val="en-US"/>
        </w:rPr>
        <w:t>. Oxford:</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Oxford University Press,</w:t>
      </w:r>
      <w:r>
        <w:rPr>
          <w:rStyle w:val="None"/>
          <w:rFonts w:ascii="Times New Roman" w:hAnsi="Times New Roman" w:hint="default"/>
          <w:color w:val="333333"/>
          <w:sz w:val="24"/>
          <w:szCs w:val="24"/>
          <w:u w:color="333333"/>
          <w:shd w:val="clear" w:color="auto" w:fill="ffffff"/>
          <w:rtl w:val="0"/>
          <w:lang w:val="en-US"/>
        </w:rPr>
        <w:t> </w:t>
      </w:r>
      <w:r>
        <w:rPr>
          <w:rStyle w:val="None"/>
          <w:rFonts w:ascii="Times New Roman" w:hAnsi="Times New Roman"/>
          <w:color w:val="333333"/>
          <w:sz w:val="24"/>
          <w:szCs w:val="24"/>
          <w:u w:color="333333"/>
          <w:shd w:val="clear" w:color="auto" w:fill="ffffff"/>
          <w:rtl w:val="0"/>
          <w:lang w:val="en-US"/>
        </w:rPr>
        <w:t>2007.</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tl w:val="0"/>
          <w:lang w:val="en-US"/>
        </w:rPr>
        <w:t xml:space="preserve">_____________. </w:t>
      </w:r>
      <w:r>
        <w:rPr>
          <w:rStyle w:val="None"/>
          <w:rFonts w:ascii="Times New Roman" w:hAnsi="Times New Roman"/>
          <w:i w:val="1"/>
          <w:iCs w:val="1"/>
          <w:color w:val="333333"/>
          <w:sz w:val="24"/>
          <w:szCs w:val="24"/>
          <w:u w:color="333333"/>
          <w:shd w:val="clear" w:color="auto" w:fill="ffffff"/>
          <w:rtl w:val="0"/>
          <w:lang w:val="en-US"/>
        </w:rPr>
        <w:t>Thinking about Mathematics: The Philosophy of Mathematics</w:t>
      </w:r>
      <w:r>
        <w:rPr>
          <w:rStyle w:val="None"/>
          <w:rFonts w:ascii="Times New Roman" w:hAnsi="Times New Roman"/>
          <w:color w:val="333333"/>
          <w:sz w:val="24"/>
          <w:szCs w:val="24"/>
          <w:u w:color="333333"/>
          <w:shd w:val="clear" w:color="auto" w:fill="ffffff"/>
          <w:rtl w:val="0"/>
          <w:lang w:val="en-US"/>
        </w:rPr>
        <w:t>. Oxford: Oxford University Press, 2000.</w:t>
      </w:r>
    </w:p>
    <w:p>
      <w:pPr>
        <w:pStyle w:val="No Spacing"/>
        <w:rPr>
          <w:rStyle w:val="None"/>
          <w:rFonts w:ascii="Times New Roman" w:cs="Times New Roman" w:hAnsi="Times New Roman" w:eastAsia="Times New Roman"/>
          <w:color w:val="333333"/>
          <w:sz w:val="24"/>
          <w:szCs w:val="24"/>
          <w:u w:color="333333"/>
          <w:shd w:val="clear" w:color="auto" w:fill="ffffff"/>
        </w:rPr>
      </w:pPr>
    </w:p>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Stillwell, John. </w:t>
      </w:r>
      <w:r>
        <w:rPr>
          <w:rStyle w:val="None"/>
          <w:rFonts w:ascii="Times New Roman" w:hAnsi="Times New Roman"/>
          <w:i w:val="1"/>
          <w:iCs w:val="1"/>
          <w:sz w:val="24"/>
          <w:szCs w:val="24"/>
          <w:rtl w:val="0"/>
          <w:lang w:val="en-US"/>
        </w:rPr>
        <w:t>Roads to Infinity</w:t>
      </w:r>
      <w:r>
        <w:rPr>
          <w:rStyle w:val="None"/>
          <w:rFonts w:ascii="Times New Roman" w:hAnsi="Times New Roman"/>
          <w:sz w:val="24"/>
          <w:szCs w:val="24"/>
          <w:rtl w:val="0"/>
          <w:lang w:val="en-US"/>
        </w:rPr>
        <w:t>. Boca Raton: CRC Press, Taylor and Francis Group, 2010.</w:t>
      </w:r>
    </w:p>
    <w:p>
      <w:pPr>
        <w:pStyle w:val="No Spacing"/>
        <w:rPr>
          <w:rStyle w:val="None"/>
          <w:rFonts w:ascii="Times New Roman" w:cs="Times New Roman" w:hAnsi="Times New Roman" w:eastAsia="Times New Roman"/>
          <w:sz w:val="24"/>
          <w:szCs w:val="24"/>
        </w:rPr>
      </w:pPr>
    </w:p>
    <w:p>
      <w:pPr>
        <w:pStyle w:val="No Spacing"/>
        <w:rPr>
          <w:rStyle w:val="None"/>
          <w:rFonts w:ascii="Times New Roman" w:cs="Times New Roman" w:hAnsi="Times New Roman" w:eastAsia="Times New Roman"/>
          <w:b w:val="1"/>
          <w:bCs w:val="1"/>
        </w:rPr>
      </w:pPr>
      <w:r>
        <w:rPr>
          <w:rStyle w:val="None"/>
          <w:rFonts w:ascii="Times New Roman" w:hAnsi="Times New Roman"/>
          <w:sz w:val="24"/>
          <w:szCs w:val="24"/>
          <w:rtl w:val="0"/>
          <w:lang w:val="en-US"/>
        </w:rPr>
        <w:t xml:space="preserve">Van Benthem, Johan and ter Meulen, Alice, editors. </w:t>
      </w:r>
      <w:r>
        <w:rPr>
          <w:rStyle w:val="None"/>
          <w:rFonts w:ascii="Times New Roman" w:hAnsi="Times New Roman"/>
          <w:i w:val="1"/>
          <w:iCs w:val="1"/>
          <w:sz w:val="24"/>
          <w:szCs w:val="24"/>
          <w:rtl w:val="0"/>
          <w:lang w:val="en-US"/>
        </w:rPr>
        <w:t>Handbook of Logic and Language</w:t>
      </w:r>
      <w:r>
        <w:rPr>
          <w:rStyle w:val="None"/>
          <w:rFonts w:ascii="Times New Roman" w:hAnsi="Times New Roman"/>
          <w:sz w:val="24"/>
          <w:szCs w:val="24"/>
          <w:rtl w:val="0"/>
          <w:lang w:val="en-US"/>
        </w:rPr>
        <w:t>. MIT Press: Cambridge, MA, 1997.</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Style w:val="None"/>
          <w:rFonts w:ascii="Cambria" w:cs="Cambria" w:hAnsi="Cambria" w:eastAsia="Cambria"/>
          <w:b w:val="1"/>
          <w:bCs w:val="1"/>
          <w:rtl w:val="0"/>
          <w:lang w:val="en-US"/>
        </w:rPr>
        <w:t>Email Correspondence</w:t>
      </w:r>
    </w:p>
    <w:p>
      <w:pPr>
        <w:pStyle w:val="Body A"/>
        <w:rPr>
          <w:rStyle w:val="None"/>
          <w:rFonts w:ascii="Times New Roman" w:cs="Times New Roman" w:hAnsi="Times New Roman" w:eastAsia="Times New Roman"/>
        </w:rPr>
      </w:pPr>
    </w:p>
    <w:p>
      <w:pPr>
        <w:pStyle w:val="Body A"/>
      </w:pPr>
      <w:r>
        <w:rPr>
          <w:rtl w:val="0"/>
        </w:rPr>
        <w:t xml:space="preserve">I include email correspondence from faculty outside my discipline to demonstrate the viability of this course as an Interdisciplinary course. </w:t>
      </w:r>
    </w:p>
    <w:p>
      <w:pPr>
        <w:pStyle w:val="Body A"/>
        <w:rPr>
          <w:rStyle w:val="None"/>
          <w:rFonts w:ascii="Times New Roman" w:cs="Times New Roman" w:hAnsi="Times New Roman" w:eastAsia="Times New Roman"/>
        </w:rPr>
      </w:pPr>
    </w:p>
    <w:p>
      <w:pPr>
        <w:pStyle w:val="Body A"/>
        <w:pBdr>
          <w:top w:val="nil"/>
          <w:left w:val="nil"/>
          <w:bottom w:val="dotted" w:color="000000" w:sz="24" w:space="0" w:shadow="0" w:frame="0"/>
          <w:right w:val="nil"/>
        </w:pBdr>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lang w:val="de-DE"/>
        </w:rPr>
      </w:pPr>
      <w:r>
        <w:rPr>
          <w:rStyle w:val="None"/>
          <w:rtl w:val="0"/>
          <w:lang w:val="de-DE"/>
        </w:rPr>
        <w:t xml:space="preserve">Jonas Reitz </w:t>
      </w:r>
    </w:p>
    <w:p>
      <w:pPr>
        <w:pStyle w:val="Body A"/>
        <w:rPr>
          <w:rStyle w:val="None"/>
          <w:lang w:val="de-DE"/>
        </w:rPr>
      </w:pPr>
      <w:r>
        <w:rPr>
          <w:rStyle w:val="None"/>
          <w:rtl w:val="0"/>
          <w:lang w:val="de-DE"/>
        </w:rPr>
        <w:t>Sat 10/20, 9:55 PM</w:t>
      </w:r>
    </w:p>
    <w:p>
      <w:pPr>
        <w:pStyle w:val="Body A"/>
        <w:rPr>
          <w:rStyle w:val="None"/>
          <w:rFonts w:ascii="Calibri" w:cs="Calibri" w:hAnsi="Calibri" w:eastAsia="Calibri"/>
          <w:lang w:val="nl-NL"/>
        </w:rPr>
      </w:pPr>
      <w:r>
        <w:rPr>
          <w:rStyle w:val="None"/>
          <w:rFonts w:ascii="Calibri" w:cs="Calibri" w:hAnsi="Calibri" w:eastAsia="Calibri"/>
          <w:rtl w:val="0"/>
          <w:lang w:val="nl-NL"/>
        </w:rPr>
        <w:t>Hi Laureen,</w:t>
      </w:r>
    </w:p>
    <w:p>
      <w:pPr>
        <w:pStyle w:val="Body A"/>
        <w:rPr>
          <w:rFonts w:ascii="Calibri" w:cs="Calibri" w:hAnsi="Calibri" w:eastAsia="Calibri"/>
        </w:rPr>
      </w:pPr>
    </w:p>
    <w:p>
      <w:pPr>
        <w:pStyle w:val="Body A"/>
        <w:rPr>
          <w:rStyle w:val="None"/>
          <w:rFonts w:ascii="Calibri" w:cs="Calibri" w:hAnsi="Calibri" w:eastAsia="Calibri"/>
        </w:rPr>
      </w:pPr>
      <w:r>
        <w:rPr>
          <w:rStyle w:val="None"/>
          <w:rFonts w:ascii="Calibri" w:cs="Calibri" w:hAnsi="Calibri" w:eastAsia="Calibri"/>
          <w:rtl w:val="0"/>
          <w:lang w:val="en-US"/>
        </w:rPr>
        <w:t>Thanks so much!</w:t>
      </w:r>
      <w:r>
        <w:rPr>
          <w:rStyle w:val="None"/>
          <w:rFonts w:ascii="Calibri" w:cs="Calibri" w:hAnsi="Calibri" w:eastAsia="Calibri"/>
          <w:rtl w:val="0"/>
          <w:lang w:val="en-US"/>
        </w:rPr>
        <w:t xml:space="preserve">  </w:t>
      </w:r>
      <w:r>
        <w:rPr>
          <w:rStyle w:val="None"/>
          <w:rFonts w:ascii="Calibri" w:cs="Calibri" w:hAnsi="Calibri" w:eastAsia="Calibri"/>
          <w:rtl w:val="0"/>
          <w:lang w:val="en-US"/>
        </w:rPr>
        <w:t>And I'm so glad to hear the symbolic logic course is proceeding - the outline looks great.</w:t>
      </w:r>
      <w:r>
        <w:rPr>
          <w:rStyle w:val="None"/>
          <w:rFonts w:ascii="Calibri" w:cs="Calibri" w:hAnsi="Calibri" w:eastAsia="Calibri"/>
          <w:rtl w:val="0"/>
          <w:lang w:val="en-US"/>
        </w:rPr>
        <w:t xml:space="preserve">  </w:t>
      </w:r>
      <w:r>
        <w:rPr>
          <w:rStyle w:val="None"/>
          <w:rFonts w:ascii="Calibri" w:cs="Calibri" w:hAnsi="Calibri" w:eastAsia="Calibri"/>
          <w:rtl w:val="0"/>
          <w:lang w:val="en-US"/>
        </w:rPr>
        <w:t>Yes, I'm happy to help out by guest lecturing - count me in!</w:t>
      </w:r>
      <w:r>
        <w:rPr>
          <w:rStyle w:val="None"/>
          <w:rFonts w:ascii="Calibri" w:cs="Calibri" w:hAnsi="Calibri" w:eastAsia="Calibri"/>
          <w:rtl w:val="0"/>
          <w:lang w:val="en-US"/>
        </w:rPr>
        <w:t xml:space="preserve">  </w:t>
      </w:r>
      <w:r>
        <w:rPr>
          <w:rStyle w:val="None"/>
          <w:rFonts w:ascii="Calibri" w:cs="Calibri" w:hAnsi="Calibri" w:eastAsia="Calibri"/>
          <w:rtl w:val="0"/>
          <w:lang w:val="en-US"/>
        </w:rPr>
        <w:t>And swapping lectures would be fun (I'm still using the slides you prepared for</w:t>
      </w:r>
      <w:r>
        <w:rPr>
          <w:rStyle w:val="None"/>
          <w:rFonts w:ascii="Calibri" w:cs="Calibri" w:hAnsi="Calibri" w:eastAsia="Calibri"/>
          <w:rtl w:val="0"/>
          <w:lang w:val="en-US"/>
        </w:rPr>
        <w:t> </w:t>
      </w:r>
      <w:r>
        <w:rPr>
          <w:rStyle w:val="None"/>
          <w:rFonts w:ascii="Calibri" w:cs="Calibri" w:hAnsi="Calibri" w:eastAsia="Calibri"/>
          <w:rtl w:val="0"/>
          <w:lang w:val="en-US"/>
        </w:rPr>
        <w:t>my course, by the way).</w:t>
      </w:r>
    </w:p>
    <w:p>
      <w:pPr>
        <w:pStyle w:val="Body A"/>
        <w:rPr>
          <w:rFonts w:ascii="Calibri" w:cs="Calibri" w:hAnsi="Calibri" w:eastAsia="Calibri"/>
        </w:rPr>
      </w:pPr>
    </w:p>
    <w:p>
      <w:pPr>
        <w:pStyle w:val="Body A"/>
        <w:rPr>
          <w:rStyle w:val="None"/>
          <w:rFonts w:ascii="Calibri" w:cs="Calibri" w:hAnsi="Calibri" w:eastAsia="Calibri"/>
        </w:rPr>
      </w:pPr>
      <w:r>
        <w:rPr>
          <w:rStyle w:val="None"/>
          <w:rFonts w:ascii="Calibri" w:cs="Calibri" w:hAnsi="Calibri" w:eastAsia="Calibri"/>
          <w:rtl w:val="0"/>
          <w:lang w:val="en-US"/>
        </w:rPr>
        <w:t>Best of luck - keep me posted on the progress,</w:t>
      </w:r>
    </w:p>
    <w:p>
      <w:pPr>
        <w:pStyle w:val="Body A"/>
        <w:rPr>
          <w:rStyle w:val="None"/>
          <w:rFonts w:ascii="Cambria" w:cs="Cambria" w:hAnsi="Cambria" w:eastAsia="Cambria"/>
          <w:b w:val="1"/>
          <w:bCs w:val="1"/>
          <w:lang w:val="es-ES_tradnl"/>
        </w:rPr>
      </w:pPr>
      <w:r>
        <w:rPr>
          <w:rStyle w:val="None"/>
          <w:rFonts w:ascii="Calibri" w:cs="Calibri" w:hAnsi="Calibri" w:eastAsia="Calibri"/>
          <w:rtl w:val="0"/>
          <w:lang w:val="es-ES_tradnl"/>
        </w:rPr>
        <w:t>Jonas</w:t>
      </w:r>
    </w:p>
    <w:p>
      <w:pPr>
        <w:pStyle w:val="Body A"/>
        <w:pBdr>
          <w:top w:val="nil"/>
          <w:left w:val="nil"/>
          <w:bottom w:val="dotted" w:color="000000" w:sz="24" w:space="0" w:shadow="0" w:frame="0"/>
          <w:right w:val="nil"/>
        </w:pBdr>
        <w:rPr>
          <w:b w:val="1"/>
          <w:bCs w:val="1"/>
        </w:rPr>
      </w:pPr>
    </w:p>
    <w:p>
      <w:pPr>
        <w:pStyle w:val="Body A"/>
        <w:rPr>
          <w:b w:val="1"/>
          <w:bCs w:val="1"/>
        </w:rPr>
      </w:pPr>
    </w:p>
    <w:p>
      <w:pPr>
        <w:pStyle w:val="Body C"/>
        <w:rPr>
          <w:lang w:val="it-IT"/>
        </w:rPr>
      </w:pPr>
      <w:r>
        <w:rPr>
          <w:rStyle w:val="None"/>
          <w:rtl w:val="0"/>
          <w:lang w:val="it-IT"/>
        </w:rPr>
        <w:t xml:space="preserve">Benito Mendoza </w:t>
      </w:r>
    </w:p>
    <w:p>
      <w:pPr>
        <w:pStyle w:val="Body C"/>
        <w:rPr>
          <w:rStyle w:val="None"/>
          <w:b w:val="1"/>
          <w:bCs w:val="1"/>
        </w:rPr>
      </w:pPr>
      <w:r>
        <w:rPr>
          <w:rFonts w:cs="Arial Unicode MS" w:eastAsia="Arial Unicode MS"/>
          <w:rtl w:val="0"/>
        </w:rPr>
        <w:t>Thu 11/1, 10:00</w:t>
      </w:r>
      <w:r>
        <w:rPr>
          <w:rStyle w:val="None"/>
          <w:b w:val="1"/>
          <w:bCs w:val="1"/>
        </w:rPr>
        <w:tab/>
      </w:r>
    </w:p>
    <w:p>
      <w:pPr>
        <w:pStyle w:val="Body C"/>
        <w:rPr>
          <w:rStyle w:val="None"/>
          <w:rFonts w:ascii="Calibri" w:cs="Calibri" w:hAnsi="Calibri" w:eastAsia="Calibri"/>
        </w:rPr>
      </w:pPr>
      <w:r>
        <w:rPr>
          <w:rStyle w:val="None"/>
          <w:rFonts w:ascii="Calibri" w:cs="Calibri" w:hAnsi="Calibri" w:eastAsia="Calibri"/>
          <w:rtl w:val="0"/>
          <w:lang w:val="en-US"/>
        </w:rPr>
        <w:t>Dear Laureen,</w:t>
      </w:r>
    </w:p>
    <w:p>
      <w:pPr>
        <w:pStyle w:val="Body C"/>
        <w:rPr>
          <w:rFonts w:ascii="Calibri" w:cs="Calibri" w:hAnsi="Calibri" w:eastAsia="Calibri"/>
        </w:rPr>
      </w:pPr>
    </w:p>
    <w:p>
      <w:pPr>
        <w:pStyle w:val="Body C"/>
        <w:rPr>
          <w:rStyle w:val="None"/>
          <w:rFonts w:ascii="Calibri" w:cs="Calibri" w:hAnsi="Calibri" w:eastAsia="Calibri"/>
        </w:rPr>
      </w:pPr>
      <w:r>
        <w:rPr>
          <w:rStyle w:val="None"/>
          <w:rFonts w:ascii="Calibri" w:cs="Calibri" w:hAnsi="Calibri" w:eastAsia="Calibri"/>
          <w:rtl w:val="0"/>
          <w:lang w:val="en-US"/>
        </w:rPr>
        <w:t>It was nice to talk to you last week. I have taken a look at the outline of the Symbolic Logic course, it looks great. I really think that an Interdisciplinary</w:t>
      </w:r>
      <w:r>
        <w:rPr>
          <w:rStyle w:val="None"/>
          <w:rFonts w:ascii="Calibri" w:cs="Calibri" w:hAnsi="Calibri" w:eastAsia="Calibri"/>
          <w:rtl w:val="0"/>
          <w:lang w:val="en-US"/>
        </w:rPr>
        <w:t> </w:t>
      </w:r>
      <w:r>
        <w:rPr>
          <w:rStyle w:val="None"/>
          <w:rFonts w:ascii="Calibri" w:cs="Calibri" w:hAnsi="Calibri" w:eastAsia="Calibri"/>
          <w:rtl w:val="0"/>
          <w:lang w:val="en-US"/>
        </w:rPr>
        <w:t>course on this topic is of great value for our students in the Computer Engineering Program, and perhaps in other majors such as Electrical</w:t>
      </w:r>
      <w:r>
        <w:rPr>
          <w:rStyle w:val="None"/>
          <w:rFonts w:ascii="Calibri" w:cs="Calibri" w:hAnsi="Calibri" w:eastAsia="Calibri"/>
          <w:rtl w:val="0"/>
          <w:lang w:val="en-US"/>
        </w:rPr>
        <w:t> </w:t>
      </w:r>
      <w:r>
        <w:rPr>
          <w:rStyle w:val="None"/>
          <w:rFonts w:ascii="Calibri" w:cs="Calibri" w:hAnsi="Calibri" w:eastAsia="Calibri"/>
          <w:rtl w:val="0"/>
          <w:lang w:val="en-US"/>
        </w:rPr>
        <w:t>Engineering and Computer Systems.</w:t>
      </w:r>
      <w:r>
        <w:rPr>
          <w:rStyle w:val="None"/>
          <w:rFonts w:ascii="Calibri" w:cs="Calibri" w:hAnsi="Calibri" w:eastAsia="Calibri"/>
          <w:rtl w:val="0"/>
          <w:lang w:val="en-US"/>
        </w:rPr>
        <w:t> </w:t>
      </w:r>
    </w:p>
    <w:p>
      <w:pPr>
        <w:pStyle w:val="Body C"/>
        <w:rPr>
          <w:rFonts w:ascii="Calibri" w:cs="Calibri" w:hAnsi="Calibri" w:eastAsia="Calibri"/>
        </w:rPr>
      </w:pPr>
    </w:p>
    <w:p>
      <w:pPr>
        <w:pStyle w:val="Body C"/>
        <w:rPr>
          <w:rStyle w:val="None"/>
          <w:rFonts w:ascii="Calibri" w:cs="Calibri" w:hAnsi="Calibri" w:eastAsia="Calibri"/>
        </w:rPr>
      </w:pPr>
      <w:r>
        <w:rPr>
          <w:rStyle w:val="None"/>
          <w:rFonts w:ascii="Calibri" w:cs="Calibri" w:hAnsi="Calibri" w:eastAsia="Calibri"/>
          <w:rtl w:val="0"/>
          <w:lang w:val="en-US"/>
        </w:rPr>
        <w:t>I would be glad to be part of it and participate</w:t>
      </w:r>
      <w:r>
        <w:rPr>
          <w:rStyle w:val="None"/>
          <w:rFonts w:ascii="Calibri" w:cs="Calibri" w:hAnsi="Calibri" w:eastAsia="Calibri"/>
          <w:rtl w:val="0"/>
          <w:lang w:val="en-US"/>
        </w:rPr>
        <w:t> </w:t>
      </w:r>
      <w:r>
        <w:rPr>
          <w:rStyle w:val="None"/>
          <w:rFonts w:ascii="Calibri" w:cs="Calibri" w:hAnsi="Calibri" w:eastAsia="Calibri"/>
          <w:rtl w:val="0"/>
          <w:lang w:val="en-US"/>
        </w:rPr>
        <w:t>as a guest lecturer. I could perhaps talk about the use of boolean logic and binary systems in different technologies (pneumatics, optics, storage, etc.) and in particular work with some examples with combinational logic circuits. We could show simple applications that can be tested on a simulator. The free online simulators I have used provide logic gates and gadgets</w:t>
      </w:r>
      <w:r>
        <w:rPr>
          <w:rStyle w:val="None"/>
          <w:rFonts w:ascii="Calibri" w:cs="Calibri" w:hAnsi="Calibri" w:eastAsia="Calibri"/>
          <w:rtl w:val="0"/>
          <w:lang w:val="en-US"/>
        </w:rPr>
        <w:t> </w:t>
      </w:r>
      <w:r>
        <w:rPr>
          <w:rStyle w:val="None"/>
          <w:rFonts w:ascii="Calibri" w:cs="Calibri" w:hAnsi="Calibri" w:eastAsia="Calibri"/>
          <w:rtl w:val="0"/>
          <w:lang w:val="en-US"/>
        </w:rPr>
        <w:t>such as switches, push buttons, sound alarms, virtual</w:t>
      </w:r>
      <w:r>
        <w:rPr>
          <w:rStyle w:val="None"/>
          <w:rFonts w:ascii="Calibri" w:cs="Calibri" w:hAnsi="Calibri" w:eastAsia="Calibri"/>
          <w:rtl w:val="0"/>
          <w:lang w:val="en-US"/>
        </w:rPr>
        <w:t> </w:t>
      </w:r>
      <w:r>
        <w:rPr>
          <w:rStyle w:val="None"/>
          <w:rFonts w:ascii="Calibri" w:cs="Calibri" w:hAnsi="Calibri" w:eastAsia="Calibri"/>
          <w:rtl w:val="0"/>
          <w:lang w:val="en-US"/>
        </w:rPr>
        <w:t>fans, and lights. Thus, they could see the practical</w:t>
      </w:r>
      <w:r>
        <w:rPr>
          <w:rStyle w:val="None"/>
          <w:rFonts w:ascii="Calibri" w:cs="Calibri" w:hAnsi="Calibri" w:eastAsia="Calibri"/>
          <w:rtl w:val="0"/>
          <w:lang w:val="en-US"/>
        </w:rPr>
        <w:t> </w:t>
      </w:r>
      <w:r>
        <w:rPr>
          <w:rStyle w:val="None"/>
          <w:rFonts w:ascii="Calibri" w:cs="Calibri" w:hAnsi="Calibri" w:eastAsia="Calibri"/>
          <w:rtl w:val="0"/>
          <w:lang w:val="en-US"/>
        </w:rPr>
        <w:t>applications of boolean logic.</w:t>
      </w:r>
    </w:p>
    <w:p>
      <w:pPr>
        <w:pStyle w:val="Body C"/>
        <w:rPr>
          <w:rFonts w:ascii="Calibri" w:cs="Calibri" w:hAnsi="Calibri" w:eastAsia="Calibri"/>
        </w:rPr>
      </w:pPr>
    </w:p>
    <w:p>
      <w:pPr>
        <w:pStyle w:val="Body C"/>
        <w:rPr>
          <w:rStyle w:val="None"/>
          <w:rFonts w:ascii="Calibri" w:cs="Calibri" w:hAnsi="Calibri" w:eastAsia="Calibri"/>
        </w:rPr>
      </w:pPr>
      <w:r>
        <w:rPr>
          <w:rStyle w:val="None"/>
          <w:rFonts w:ascii="Calibri" w:cs="Calibri" w:hAnsi="Calibri" w:eastAsia="Calibri"/>
          <w:rtl w:val="0"/>
          <w:lang w:val="en-US"/>
        </w:rPr>
        <w:t>Please, keep me posted in the developing of this course.</w:t>
      </w:r>
    </w:p>
    <w:p>
      <w:pPr>
        <w:pStyle w:val="Body C"/>
        <w:rPr>
          <w:rFonts w:ascii="Calibri" w:cs="Calibri" w:hAnsi="Calibri" w:eastAsia="Calibri"/>
        </w:rPr>
      </w:pPr>
    </w:p>
    <w:p>
      <w:pPr>
        <w:pStyle w:val="Body C"/>
        <w:rPr>
          <w:rStyle w:val="None"/>
          <w:rFonts w:ascii="Calibri" w:cs="Calibri" w:hAnsi="Calibri" w:eastAsia="Calibri"/>
        </w:rPr>
      </w:pPr>
      <w:r>
        <w:rPr>
          <w:rStyle w:val="None"/>
          <w:rFonts w:ascii="Calibri" w:cs="Calibri" w:hAnsi="Calibri" w:eastAsia="Calibri"/>
          <w:rtl w:val="0"/>
          <w:lang w:val="en-US"/>
        </w:rPr>
        <w:t>Sincerely,</w:t>
      </w:r>
    </w:p>
    <w:p>
      <w:pPr>
        <w:pStyle w:val="Body C"/>
        <w:rPr>
          <w:rFonts w:ascii="Calibri" w:cs="Calibri" w:hAnsi="Calibri" w:eastAsia="Calibri"/>
        </w:rPr>
      </w:pPr>
    </w:p>
    <w:p>
      <w:pPr>
        <w:pStyle w:val="Body C"/>
        <w:rPr>
          <w:rStyle w:val="None"/>
          <w:rFonts w:ascii="Calibri" w:cs="Calibri" w:hAnsi="Calibri" w:eastAsia="Calibri"/>
        </w:rPr>
      </w:pPr>
      <w:r>
        <w:rPr>
          <w:rStyle w:val="None"/>
          <w:rFonts w:ascii="Calibri" w:cs="Calibri" w:hAnsi="Calibri" w:eastAsia="Calibri"/>
          <w:rtl w:val="0"/>
          <w:lang w:val="en-US"/>
        </w:rPr>
        <w:t>-Ben</w:t>
      </w:r>
    </w:p>
    <w:p>
      <w:pPr>
        <w:pStyle w:val="Body C"/>
        <w:shd w:val="clear" w:color="auto" w:fill="ffffff"/>
        <w:rPr>
          <w:rStyle w:val="None"/>
          <w:rFonts w:ascii="Calibri" w:cs="Calibri" w:hAnsi="Calibri" w:eastAsia="Calibri"/>
          <w:shd w:val="clear" w:color="auto" w:fill="ffffff"/>
        </w:rPr>
      </w:pPr>
      <w:r>
        <w:rPr>
          <w:rStyle w:val="None"/>
          <w:rFonts w:ascii="Tahoma" w:hAnsi="Tahoma"/>
          <w:b w:val="1"/>
          <w:bCs w:val="1"/>
          <w:color w:val="666666"/>
          <w:sz w:val="20"/>
          <w:szCs w:val="20"/>
          <w:u w:color="666666"/>
          <w:shd w:val="clear" w:color="auto" w:fill="ffffff"/>
          <w:rtl w:val="0"/>
          <w:lang w:val="en-US"/>
        </w:rPr>
        <w:t>_______________________________</w:t>
      </w:r>
    </w:p>
    <w:p>
      <w:pPr>
        <w:pStyle w:val="Body C"/>
        <w:shd w:val="clear" w:color="auto" w:fill="ffffff"/>
        <w:rPr>
          <w:rStyle w:val="None"/>
          <w:rFonts w:ascii="Calibri" w:cs="Calibri" w:hAnsi="Calibri" w:eastAsia="Calibri"/>
          <w:shd w:val="clear" w:color="auto" w:fill="ffffff"/>
        </w:rPr>
      </w:pPr>
      <w:r>
        <w:rPr>
          <w:rStyle w:val="None"/>
          <w:rFonts w:ascii="Tahoma" w:hAnsi="Tahoma"/>
          <w:b w:val="1"/>
          <w:bCs w:val="1"/>
          <w:color w:val="666666"/>
          <w:sz w:val="20"/>
          <w:szCs w:val="20"/>
          <w:u w:color="666666"/>
          <w:shd w:val="clear" w:color="auto" w:fill="ffffff"/>
          <w:rtl w:val="0"/>
          <w:lang w:val="it-IT"/>
        </w:rPr>
        <w:t>Benito Mendoza, Ph.D.</w:t>
      </w:r>
      <w:r>
        <w:rPr>
          <w:rStyle w:val="None"/>
          <w:rFonts w:ascii="Arial Unicode MS" w:cs="Arial Unicode MS" w:hAnsi="Arial Unicode MS" w:eastAsia="Arial Unicode MS"/>
          <w:color w:val="666666"/>
          <w:sz w:val="20"/>
          <w:szCs w:val="20"/>
          <w:u w:color="666666"/>
          <w:shd w:val="clear" w:color="auto" w:fill="ffffff"/>
          <w:lang w:val="en-US"/>
        </w:rPr>
        <w:br w:type="textWrapping"/>
      </w:r>
      <w:r>
        <w:rPr>
          <w:rStyle w:val="None"/>
          <w:rFonts w:ascii="Tahoma" w:hAnsi="Tahoma"/>
          <w:color w:val="666666"/>
          <w:sz w:val="20"/>
          <w:szCs w:val="20"/>
          <w:u w:color="666666"/>
          <w:shd w:val="clear" w:color="auto" w:fill="ffffff"/>
          <w:rtl w:val="0"/>
          <w:lang w:val="fr-FR"/>
        </w:rPr>
        <w:t>Assistant Professor</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Department of</w:t>
      </w:r>
      <w:r>
        <w:rPr>
          <w:rStyle w:val="None"/>
          <w:rFonts w:ascii="Calibri" w:cs="Calibri" w:hAnsi="Calibri" w:eastAsia="Calibri"/>
          <w:color w:val="757b80"/>
          <w:sz w:val="22"/>
          <w:szCs w:val="22"/>
          <w:u w:color="757b80"/>
          <w:shd w:val="clear" w:color="auto" w:fill="ffffff"/>
          <w:rtl w:val="0"/>
          <w:lang w:val="en-US"/>
        </w:rPr>
        <w:t> </w:t>
      </w:r>
      <w:r>
        <w:rPr>
          <w:rStyle w:val="None"/>
          <w:rFonts w:ascii="Calibri" w:cs="Calibri" w:hAnsi="Calibri" w:eastAsia="Calibri"/>
          <w:color w:val="757b80"/>
          <w:sz w:val="22"/>
          <w:szCs w:val="22"/>
          <w:u w:color="757b80"/>
          <w:shd w:val="clear" w:color="auto" w:fill="ffffff"/>
          <w:rtl w:val="0"/>
          <w:lang w:val="en-US"/>
        </w:rPr>
        <w:t>Computer Engineering Technology</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New York City College of Technology</w:t>
      </w:r>
      <w:r>
        <w:rPr>
          <w:rStyle w:val="None"/>
          <w:rFonts w:ascii="Calibri" w:cs="Calibri" w:hAnsi="Calibri" w:eastAsia="Calibri"/>
          <w:color w:val="757b80"/>
          <w:sz w:val="22"/>
          <w:szCs w:val="22"/>
          <w:u w:color="757b80"/>
          <w:shd w:val="clear" w:color="auto" w:fill="ffffff"/>
          <w:rtl w:val="0"/>
          <w:lang w:val="en-US"/>
        </w:rPr>
        <w:t xml:space="preserve">  </w:t>
      </w:r>
      <w:r>
        <w:rPr>
          <w:rStyle w:val="None"/>
          <w:rFonts w:ascii="Calibri" w:cs="Calibri" w:hAnsi="Calibri" w:eastAsia="Calibri"/>
          <w:color w:val="757b80"/>
          <w:sz w:val="22"/>
          <w:szCs w:val="22"/>
          <w:u w:color="757b80"/>
          <w:shd w:val="clear" w:color="auto" w:fill="ffffff"/>
          <w:rtl w:val="0"/>
          <w:lang w:val="en-US"/>
        </w:rPr>
        <w:t>(City Tech)</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The City University of New York (CUNY)</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186 Jay Street, V-620</w:t>
      </w:r>
    </w:p>
    <w:p>
      <w:pPr>
        <w:pStyle w:val="Body C"/>
        <w:shd w:val="clear" w:color="auto" w:fill="ffffff"/>
        <w:rPr>
          <w:rStyle w:val="None"/>
          <w:rFonts w:ascii="Calibri" w:cs="Calibri" w:hAnsi="Calibri" w:eastAsia="Calibri"/>
          <w:color w:val="222222"/>
          <w:u w:color="222222"/>
          <w:shd w:val="clear" w:color="auto" w:fill="ffffff"/>
        </w:rPr>
      </w:pPr>
      <w:r>
        <w:rPr>
          <w:rStyle w:val="None"/>
          <w:rFonts w:ascii="Calibri" w:cs="Calibri" w:hAnsi="Calibri" w:eastAsia="Calibri"/>
          <w:color w:val="757b80"/>
          <w:sz w:val="22"/>
          <w:szCs w:val="22"/>
          <w:u w:color="757b80"/>
          <w:shd w:val="clear" w:color="auto" w:fill="ffffff"/>
          <w:rtl w:val="0"/>
          <w:lang w:val="en-US"/>
        </w:rPr>
        <w:t>Brooklyn, NY 11201</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T:</w:t>
      </w:r>
      <w:r>
        <w:rPr>
          <w:rStyle w:val="None"/>
          <w:rFonts w:ascii="Calibri" w:cs="Calibri" w:hAnsi="Calibri" w:eastAsia="Calibri"/>
          <w:color w:val="757b80"/>
          <w:sz w:val="22"/>
          <w:szCs w:val="22"/>
          <w:u w:color="757b80"/>
          <w:shd w:val="clear" w:color="auto" w:fill="ffffff"/>
          <w:rtl w:val="0"/>
          <w:lang w:val="en-US"/>
        </w:rPr>
        <w:t> </w:t>
      </w:r>
      <w:r>
        <w:rPr>
          <w:rStyle w:val="None"/>
          <w:rFonts w:ascii="Calibri" w:cs="Calibri" w:hAnsi="Calibri" w:eastAsia="Calibri"/>
          <w:color w:val="757b80"/>
          <w:sz w:val="22"/>
          <w:szCs w:val="22"/>
          <w:u w:color="757b80"/>
          <w:shd w:val="clear" w:color="auto" w:fill="ffffff"/>
          <w:rtl w:val="0"/>
          <w:lang w:val="en-US"/>
        </w:rPr>
        <w:t>718-260-5437</w:t>
      </w:r>
    </w:p>
    <w:p>
      <w:pPr>
        <w:pStyle w:val="Body C"/>
        <w:shd w:val="clear" w:color="auto" w:fill="ffffff"/>
        <w:rPr>
          <w:rStyle w:val="None"/>
          <w:rFonts w:ascii="Calibri" w:cs="Calibri" w:hAnsi="Calibri" w:eastAsia="Calibri"/>
          <w:shd w:val="clear" w:color="auto" w:fill="ffffff"/>
        </w:rPr>
      </w:pPr>
      <w:r>
        <w:rPr>
          <w:rStyle w:val="None"/>
          <w:rFonts w:ascii="Calibri" w:cs="Calibri" w:hAnsi="Calibri" w:eastAsia="Calibri"/>
          <w:color w:val="757b80"/>
          <w:sz w:val="22"/>
          <w:szCs w:val="22"/>
          <w:u w:color="757b80"/>
          <w:shd w:val="clear" w:color="auto" w:fill="ffffff"/>
          <w:rtl w:val="0"/>
          <w:lang w:val="en-US"/>
        </w:rPr>
        <w:t>F:</w:t>
      </w:r>
      <w:r>
        <w:rPr>
          <w:rStyle w:val="None"/>
          <w:rFonts w:ascii="Calibri" w:cs="Calibri" w:hAnsi="Calibri" w:eastAsia="Calibri"/>
          <w:color w:val="757b80"/>
          <w:sz w:val="22"/>
          <w:szCs w:val="22"/>
          <w:u w:color="757b80"/>
          <w:shd w:val="clear" w:color="auto" w:fill="ffffff"/>
          <w:rtl w:val="0"/>
          <w:lang w:val="en-US"/>
        </w:rPr>
        <w:t> </w:t>
      </w:r>
      <w:r>
        <w:rPr>
          <w:rStyle w:val="None"/>
          <w:rFonts w:ascii="Calibri" w:cs="Calibri" w:hAnsi="Calibri" w:eastAsia="Calibri"/>
          <w:color w:val="757b80"/>
          <w:sz w:val="22"/>
          <w:szCs w:val="22"/>
          <w:u w:color="757b80"/>
          <w:shd w:val="clear" w:color="auto" w:fill="ffffff"/>
          <w:rtl w:val="0"/>
          <w:lang w:val="en-US"/>
        </w:rPr>
        <w:t>718-260-5888</w:t>
      </w:r>
    </w:p>
    <w:p>
      <w:pPr>
        <w:pStyle w:val="Body C"/>
        <w:shd w:val="clear" w:color="auto" w:fill="ffffff"/>
        <w:rPr>
          <w:rStyle w:val="None"/>
          <w:b w:val="1"/>
          <w:bCs w:val="1"/>
        </w:rPr>
      </w:pPr>
      <w:r>
        <w:rPr>
          <w:rStyle w:val="None"/>
          <w:rFonts w:ascii="Calibri" w:cs="Calibri" w:hAnsi="Calibri" w:eastAsia="Calibri"/>
          <w:color w:val="757b80"/>
          <w:sz w:val="22"/>
          <w:szCs w:val="22"/>
          <w:u w:color="757b80"/>
          <w:shd w:val="clear" w:color="auto" w:fill="ffffff"/>
          <w:rtl w:val="0"/>
          <w:lang w:val="en-US"/>
        </w:rPr>
        <w:t>Email: bmendoza@citytech.cuny.edu</w:t>
      </w:r>
    </w:p>
    <w:p>
      <w:pPr>
        <w:pStyle w:val="Body A"/>
        <w:pBdr>
          <w:top w:val="nil"/>
          <w:left w:val="nil"/>
          <w:bottom w:val="dotted" w:color="000000" w:sz="24" w:space="0" w:shadow="0" w:frame="0"/>
          <w:right w:val="nil"/>
        </w:pBdr>
        <w:tabs>
          <w:tab w:val="left" w:pos="3228"/>
        </w:tabs>
        <w:rPr>
          <w:b w:val="1"/>
          <w:bCs w:val="1"/>
        </w:rPr>
      </w:pPr>
    </w:p>
    <w:p>
      <w:pPr>
        <w:pStyle w:val="Body A"/>
        <w:tabs>
          <w:tab w:val="left" w:pos="3228"/>
        </w:tabs>
        <w:rPr>
          <w:b w:val="1"/>
          <w:bCs w:val="1"/>
        </w:rPr>
      </w:pPr>
    </w:p>
    <w:p>
      <w:pPr>
        <w:pStyle w:val="Body"/>
      </w:pPr>
      <w:r>
        <w:rPr>
          <w:rFonts w:cs="Arial Unicode MS" w:eastAsia="Arial Unicode MS"/>
          <w:rtl w:val="0"/>
        </w:rPr>
        <w:t xml:space="preserve">Caner Koca </w:t>
      </w:r>
    </w:p>
    <w:p>
      <w:pPr>
        <w:pStyle w:val="Body"/>
      </w:pPr>
      <w:r>
        <w:rPr>
          <w:rFonts w:cs="Arial Unicode MS" w:eastAsia="Arial Unicode MS"/>
          <w:rtl w:val="0"/>
          <w:lang w:val="en-US"/>
        </w:rPr>
        <w:t>Wed 11/7, 1:06 PM</w:t>
      </w:r>
    </w:p>
    <w:p>
      <w:pPr>
        <w:pStyle w:val="Body"/>
      </w:pPr>
      <w:r>
        <w:rPr>
          <w:rFonts w:cs="Arial Unicode MS" w:eastAsia="Arial Unicode MS"/>
          <w:rtl w:val="0"/>
        </w:rPr>
        <w:t xml:space="preserve">Hi Laureen, </w:t>
      </w:r>
    </w:p>
    <w:p>
      <w:pPr>
        <w:pStyle w:val="Body"/>
      </w:pPr>
    </w:p>
    <w:p>
      <w:pPr>
        <w:pStyle w:val="Body"/>
      </w:pPr>
      <w:r>
        <w:rPr>
          <w:rFonts w:cs="Arial Unicode MS" w:eastAsia="Arial Unicode MS"/>
          <w:rtl w:val="0"/>
          <w:lang w:val="en-US"/>
        </w:rPr>
        <w:t>It was nice to talk to you yesterday. I am very much willing to be a guest lecturer in this proposed course. You may invite me to as many lectures as you see fit.</w:t>
      </w:r>
    </w:p>
    <w:p>
      <w:pPr>
        <w:pStyle w:val="Body"/>
      </w:pPr>
    </w:p>
    <w:p>
      <w:pPr>
        <w:pStyle w:val="Body"/>
      </w:pPr>
      <w:r>
        <w:rPr>
          <w:rFonts w:cs="Arial Unicode MS" w:eastAsia="Arial Unicode MS"/>
          <w:rtl w:val="0"/>
        </w:rPr>
        <w:t>Best</w:t>
      </w:r>
      <w:r>
        <w:rPr>
          <w:rFonts w:cs="Arial Unicode MS" w:eastAsia="Arial Unicode MS" w:hint="default"/>
          <w:rtl w:val="0"/>
        </w:rPr>
        <w:t> </w:t>
      </w:r>
      <w:r>
        <w:rPr>
          <w:rFonts w:cs="Arial Unicode MS" w:eastAsia="Arial Unicode MS"/>
          <w:rtl w:val="0"/>
          <w:lang w:val="en-US"/>
        </w:rPr>
        <w:t>regards,</w:t>
      </w:r>
    </w:p>
    <w:p>
      <w:pPr>
        <w:pStyle w:val="Body"/>
      </w:pPr>
    </w:p>
    <w:p>
      <w:pPr>
        <w:pStyle w:val="Body"/>
      </w:pPr>
      <w:r>
        <w:rPr>
          <w:rFonts w:cs="Arial Unicode MS" w:eastAsia="Arial Unicode MS"/>
          <w:rtl w:val="0"/>
        </w:rPr>
        <w:t>Caner Koca</w:t>
      </w:r>
    </w:p>
    <w:p>
      <w:pPr>
        <w:pStyle w:val="Body"/>
      </w:pPr>
      <w:r>
        <w:rPr>
          <w:rFonts w:cs="Arial Unicode MS" w:eastAsia="Arial Unicode MS"/>
          <w:rtl w:val="0"/>
          <w:lang w:val="en-US"/>
        </w:rPr>
        <w:t>Assistant Professor of Mathematics</w:t>
      </w:r>
    </w:p>
    <w:p>
      <w:pPr>
        <w:pStyle w:val="Body"/>
      </w:pPr>
      <w:r>
        <w:rPr>
          <w:rFonts w:cs="Arial Unicode MS" w:eastAsia="Arial Unicode MS"/>
          <w:rtl w:val="0"/>
          <w:lang w:val="en-US"/>
        </w:rPr>
        <w:t>CUNY - New York City College of Technology</w:t>
      </w:r>
    </w:p>
    <w:p>
      <w:pPr>
        <w:pStyle w:val="Body A"/>
        <w:pBdr>
          <w:top w:val="nil"/>
          <w:left w:val="nil"/>
          <w:bottom w:val="dotted" w:color="000000" w:sz="24" w:space="0" w:shadow="0" w:frame="0"/>
          <w:right w:val="nil"/>
        </w:pBdr>
        <w:tabs>
          <w:tab w:val="left" w:pos="3228"/>
        </w:tabs>
        <w:rPr>
          <w:b w:val="1"/>
          <w:bCs w:val="1"/>
        </w:rPr>
      </w:pPr>
    </w:p>
    <w:p>
      <w:pPr>
        <w:pStyle w:val="Body A"/>
        <w:tabs>
          <w:tab w:val="left" w:pos="3228"/>
        </w:tabs>
        <w:rPr>
          <w:b w:val="1"/>
          <w:bCs w:val="1"/>
        </w:rPr>
      </w:pPr>
    </w:p>
    <w:p>
      <w:pPr>
        <w:pStyle w:val="Body A"/>
        <w:rPr>
          <w:rStyle w:val="None"/>
          <w:lang w:val="pt-PT"/>
        </w:rPr>
      </w:pPr>
      <w:r>
        <w:rPr>
          <w:rStyle w:val="None"/>
          <w:rtl w:val="0"/>
          <w:lang w:val="pt-PT"/>
        </w:rPr>
        <w:t xml:space="preserve">Candido Cabo </w:t>
      </w:r>
    </w:p>
    <w:p>
      <w:pPr>
        <w:pStyle w:val="Body A"/>
      </w:pPr>
      <w:r>
        <w:rPr>
          <w:rtl w:val="0"/>
        </w:rPr>
        <w:t>Tue 10/16, 4:45 PM</w:t>
      </w:r>
    </w:p>
    <w:p>
      <w:pPr>
        <w:pStyle w:val="Body A"/>
        <w:rPr>
          <w:rStyle w:val="None"/>
          <w:rFonts w:ascii="Segoe UI" w:cs="Segoe UI" w:hAnsi="Segoe UI" w:eastAsia="Segoe UI"/>
          <w:sz w:val="20"/>
          <w:szCs w:val="20"/>
        </w:rPr>
      </w:pPr>
      <w:r>
        <w:rPr>
          <w:rStyle w:val="None"/>
          <w:rFonts w:ascii="Segoe UI" w:cs="Segoe UI" w:hAnsi="Segoe UI" w:eastAsia="Segoe UI"/>
          <w:sz w:val="20"/>
          <w:szCs w:val="20"/>
          <w:rtl w:val="0"/>
          <w:lang w:val="nl-NL"/>
        </w:rPr>
        <w:t>Hi Laureen,</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en-US"/>
        </w:rPr>
        <w:t>Yes, I am interested.</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en-US"/>
        </w:rPr>
        <w:t>I have a few questions: How do you envision the Computer Science contribution? Which would be the ID structure of the course (co-taught, guest lecturers)? Perhaps we can meet for me to further understand your plans and what would be our contribution?</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en-US"/>
        </w:rPr>
        <w:t>Which days/times are you available to meet?</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en-US"/>
        </w:rPr>
        <w:t>Best,</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es-ES_tradnl"/>
        </w:rPr>
        <w:t>...candido</w:t>
      </w:r>
      <w:r>
        <w:rPr>
          <w:rStyle w:val="None"/>
          <w:rFonts w:ascii="Segoe UI" w:cs="Segoe UI" w:hAnsi="Segoe UI" w:eastAsia="Segoe UI"/>
          <w:sz w:val="20"/>
          <w:szCs w:val="20"/>
          <w:lang w:val="en-US"/>
        </w:rPr>
        <w:br w:type="textWrapping"/>
        <w:br w:type="textWrapping"/>
      </w:r>
      <w:r>
        <w:rPr>
          <w:rStyle w:val="None"/>
          <w:rFonts w:ascii="Segoe UI" w:cs="Segoe UI" w:hAnsi="Segoe UI" w:eastAsia="Segoe UI"/>
          <w:sz w:val="20"/>
          <w:szCs w:val="20"/>
          <w:rtl w:val="0"/>
          <w:lang w:val="pt-PT"/>
        </w:rPr>
        <w:t>Candido Cabo, Ph.D.</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it-IT"/>
        </w:rPr>
        <w:t>Professor</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en-US"/>
        </w:rPr>
        <w:t>Department of Computer Systems</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en-US"/>
        </w:rPr>
        <w:t>New York City College of Technology</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en-US"/>
        </w:rPr>
        <w:t>City University of New York</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de-DE"/>
        </w:rPr>
        <w:t>300 Jay Street</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en-US"/>
        </w:rPr>
        <w:t>Brooklyn, NY 11201</w:t>
      </w:r>
      <w:r>
        <w:rPr>
          <w:rStyle w:val="None"/>
          <w:rFonts w:ascii="Segoe UI" w:cs="Segoe UI" w:hAnsi="Segoe UI" w:eastAsia="Segoe UI"/>
          <w:sz w:val="20"/>
          <w:szCs w:val="20"/>
          <w:lang w:val="en-US"/>
        </w:rPr>
        <w:br w:type="textWrapping"/>
      </w:r>
      <w:r>
        <w:rPr>
          <w:rStyle w:val="None"/>
          <w:rFonts w:ascii="Segoe UI" w:cs="Segoe UI" w:hAnsi="Segoe UI" w:eastAsia="Segoe UI"/>
          <w:sz w:val="20"/>
          <w:szCs w:val="20"/>
          <w:rtl w:val="0"/>
          <w:lang w:val="it-IT"/>
        </w:rPr>
        <w:t>phone: (718) 260-5162</w:t>
      </w:r>
    </w:p>
    <w:p>
      <w:pPr>
        <w:pStyle w:val="Body A"/>
        <w:rPr>
          <w:rFonts w:ascii="Segoe UI" w:cs="Segoe UI" w:hAnsi="Segoe UI" w:eastAsia="Segoe UI"/>
          <w:sz w:val="20"/>
          <w:szCs w:val="20"/>
        </w:rPr>
      </w:pPr>
    </w:p>
    <w:p>
      <w:pPr>
        <w:pStyle w:val="Body A"/>
        <w:rPr>
          <w:rFonts w:ascii="Segoe UI" w:cs="Segoe UI" w:hAnsi="Segoe UI" w:eastAsia="Segoe UI"/>
          <w:sz w:val="20"/>
          <w:szCs w:val="20"/>
        </w:rPr>
      </w:pPr>
    </w:p>
    <w:p>
      <w:pPr>
        <w:pStyle w:val="Body"/>
        <w:ind w:left="720" w:firstLine="0"/>
        <w:rPr>
          <w:rStyle w:val="None"/>
          <w:b w:val="1"/>
          <w:bCs w:val="1"/>
        </w:rPr>
      </w:pPr>
      <w:r>
        <w:drawing>
          <wp:anchor distT="152400" distB="152400" distL="152400" distR="152400" simplePos="0" relativeHeight="251659264" behindDoc="0" locked="0" layoutInCell="1" allowOverlap="1">
            <wp:simplePos x="0" y="0"/>
            <wp:positionH relativeFrom="page">
              <wp:posOffset>634966</wp:posOffset>
            </wp:positionH>
            <wp:positionV relativeFrom="page">
              <wp:posOffset>382111</wp:posOffset>
            </wp:positionV>
            <wp:extent cx="6502468" cy="8342789"/>
            <wp:effectExtent l="0" t="0" r="0" b="0"/>
            <wp:wrapThrough wrapText="bothSides" distL="152400" distR="152400">
              <wp:wrapPolygon edited="1">
                <wp:start x="0" y="0"/>
                <wp:lineTo x="21565" y="0"/>
                <wp:lineTo x="21565" y="21572"/>
                <wp:lineTo x="0" y="21572"/>
                <wp:lineTo x="0" y="0"/>
              </wp:wrapPolygon>
            </wp:wrapThrough>
            <wp:docPr id="1073741827" name="officeArt object" descr="Signed Library Form.pdf"/>
            <wp:cNvGraphicFramePr/>
            <a:graphic xmlns:a="http://schemas.openxmlformats.org/drawingml/2006/main">
              <a:graphicData uri="http://schemas.openxmlformats.org/drawingml/2006/picture">
                <pic:pic xmlns:pic="http://schemas.openxmlformats.org/drawingml/2006/picture">
                  <pic:nvPicPr>
                    <pic:cNvPr id="1073741827" name="Signed Library Form.pdf" descr="Signed Library Form.pdf"/>
                    <pic:cNvPicPr>
                      <a:picLocks noChangeAspect="1"/>
                    </pic:cNvPicPr>
                  </pic:nvPicPr>
                  <pic:blipFill>
                    <a:blip r:embed="rId6">
                      <a:extLst/>
                    </a:blip>
                    <a:stretch>
                      <a:fillRect/>
                    </a:stretch>
                  </pic:blipFill>
                  <pic:spPr>
                    <a:xfrm>
                      <a:off x="0" y="0"/>
                      <a:ext cx="6502468" cy="8342789"/>
                    </a:xfrm>
                    <a:prstGeom prst="rect">
                      <a:avLst/>
                    </a:prstGeom>
                    <a:ln w="12700" cap="flat">
                      <a:noFill/>
                      <a:miter lim="400000"/>
                    </a:ln>
                    <a:effectLst/>
                  </pic:spPr>
                </pic:pic>
              </a:graphicData>
            </a:graphic>
          </wp:anchor>
        </w:drawing>
      </w:r>
      <w:r>
        <w:rPr>
          <w:rStyle w:val="None"/>
          <w:b w:val="1"/>
          <w:bCs w:val="1"/>
          <w:rtl w:val="0"/>
        </w:rPr>
        <w:t xml:space="preserve"> </w:t>
      </w:r>
    </w:p>
    <w:p>
      <w:pPr>
        <w:pStyle w:val="Body"/>
        <w:ind w:left="720" w:firstLine="0"/>
        <w:rPr>
          <w:rStyle w:val="None"/>
          <w:b w:val="1"/>
          <w:bCs w:val="1"/>
        </w:rPr>
      </w:pPr>
    </w:p>
    <w:p>
      <w:pPr>
        <w:pStyle w:val="Body"/>
        <w:ind w:left="720" w:firstLine="0"/>
        <w:rPr>
          <w:rStyle w:val="None"/>
          <w:b w:val="1"/>
          <w:bCs w:val="1"/>
        </w:rPr>
      </w:pPr>
    </w:p>
    <w:p>
      <w:pPr>
        <w:pStyle w:val="Body"/>
        <w:jc w:val="center"/>
        <w:rPr>
          <w:rStyle w:val="None"/>
          <w:b w:val="1"/>
          <w:bCs w:val="1"/>
        </w:rPr>
      </w:pPr>
      <w:r>
        <w:rPr>
          <w:rStyle w:val="None"/>
          <w:b w:val="1"/>
          <w:bCs w:val="1"/>
          <w:rtl w:val="0"/>
          <w:lang w:val="en-US"/>
        </w:rPr>
        <w:t>New York City College of Technology</w:t>
      </w:r>
    </w:p>
    <w:p>
      <w:pPr>
        <w:pStyle w:val="Body"/>
        <w:jc w:val="center"/>
        <w:rPr>
          <w:rStyle w:val="None"/>
          <w:b w:val="1"/>
          <w:bCs w:val="1"/>
        </w:rPr>
      </w:pPr>
      <w:r>
        <w:rPr>
          <w:rStyle w:val="None"/>
          <w:b w:val="1"/>
          <w:bCs w:val="1"/>
          <w:rtl w:val="0"/>
          <w:lang w:val="en-US"/>
        </w:rPr>
        <w:t>Interdisciplinary Committee</w:t>
      </w:r>
    </w:p>
    <w:p>
      <w:pPr>
        <w:pStyle w:val="Body"/>
        <w:jc w:val="center"/>
        <w:rPr>
          <w:rStyle w:val="None"/>
          <w:b w:val="1"/>
          <w:bCs w:val="1"/>
          <w:u w:val="single"/>
        </w:rPr>
      </w:pPr>
      <w:r>
        <w:rPr>
          <w:rStyle w:val="None"/>
          <w:b w:val="1"/>
          <w:bCs w:val="1"/>
          <w:u w:val="single"/>
          <w:rtl w:val="0"/>
          <w:lang w:val="en-US"/>
        </w:rPr>
        <w:t>Meeting Minutes: February 14, 2019</w:t>
      </w:r>
    </w:p>
    <w:p>
      <w:pPr>
        <w:pStyle w:val="Body"/>
        <w:jc w:val="center"/>
        <w:rPr>
          <w:rStyle w:val="None"/>
          <w:b w:val="1"/>
          <w:bCs w:val="1"/>
          <w:u w:val="single"/>
        </w:rPr>
      </w:pPr>
    </w:p>
    <w:p>
      <w:pPr>
        <w:pStyle w:val="Body"/>
        <w:jc w:val="center"/>
      </w:pPr>
      <w:r>
        <w:rPr>
          <w:rtl w:val="0"/>
          <w:lang w:val="en-US"/>
        </w:rPr>
        <w:t>Reneta Lansiquot &amp; Sean P. MacDonald, Co-Chairs</w:t>
      </w:r>
    </w:p>
    <w:p>
      <w:pPr>
        <w:pStyle w:val="Body"/>
        <w:jc w:val="center"/>
      </w:pPr>
      <w:r>
        <w:rPr>
          <w:rtl w:val="0"/>
          <w:lang w:val="pt-PT"/>
        </w:rPr>
        <w:t>Amanda Almond, Secretary</w:t>
      </w:r>
    </w:p>
    <w:p>
      <w:pPr>
        <w:pStyle w:val="Body"/>
        <w:ind w:left="720" w:firstLine="0"/>
        <w:rPr>
          <w:rStyle w:val="None"/>
          <w:b w:val="1"/>
          <w:bCs w:val="1"/>
        </w:rPr>
      </w:pPr>
    </w:p>
    <w:p>
      <w:pPr>
        <w:pStyle w:val="Body"/>
        <w:ind w:left="720" w:firstLine="0"/>
        <w:rPr>
          <w:rStyle w:val="None"/>
          <w:b w:val="1"/>
          <w:bCs w:val="1"/>
        </w:rPr>
      </w:pPr>
    </w:p>
    <w:p>
      <w:pPr>
        <w:pStyle w:val="Body"/>
        <w:ind w:left="720" w:firstLine="0"/>
      </w:pPr>
      <w:r>
        <w:rPr>
          <w:rStyle w:val="None"/>
          <w:b w:val="1"/>
          <w:bCs w:val="1"/>
          <w:rtl w:val="0"/>
          <w:lang w:val="fr-FR"/>
        </w:rPr>
        <w:t xml:space="preserve">In Attendance: </w:t>
      </w:r>
      <w:r>
        <w:rPr>
          <w:rtl w:val="0"/>
          <w:lang w:val="it-IT"/>
        </w:rPr>
        <w:t>Reneta Lansiquot, Sean MacDonald, Amanda Almond, Monica Berger, Heidi Boisvert, Candido Cabo, Ezra Halleck, Jean Hillstrom, Anna Matthews, Diana Mincyte, Laureen Park, Olufemi Sodeinde, Denise Sutton, Christopher Swift, and Robert Walljasper.</w:t>
      </w:r>
    </w:p>
    <w:p>
      <w:pPr>
        <w:pStyle w:val="Body"/>
        <w:ind w:left="720" w:firstLine="0"/>
      </w:pPr>
      <w:r>
        <w:rPr>
          <w:rStyle w:val="None"/>
          <w:b w:val="1"/>
          <w:bCs w:val="1"/>
          <w:rtl w:val="0"/>
          <w:lang w:val="en-US"/>
        </w:rPr>
        <w:t xml:space="preserve">On Leave: </w:t>
      </w:r>
      <w:r>
        <w:rPr>
          <w:rtl w:val="0"/>
          <w:lang w:val="en-US"/>
        </w:rPr>
        <w:t>Paul King</w:t>
      </w:r>
    </w:p>
    <w:p>
      <w:pPr>
        <w:pStyle w:val="Body"/>
        <w:ind w:left="720" w:firstLine="0"/>
        <w:rPr>
          <w:rStyle w:val="None"/>
          <w:b w:val="1"/>
          <w:bCs w:val="1"/>
        </w:rPr>
      </w:pPr>
      <w:r>
        <w:rPr>
          <w:rStyle w:val="None"/>
          <w:b w:val="1"/>
          <w:bCs w:val="1"/>
          <w:rtl w:val="0"/>
          <w:lang w:val="en-US"/>
        </w:rPr>
        <w:t>Excused:</w:t>
      </w:r>
    </w:p>
    <w:p>
      <w:pPr>
        <w:pStyle w:val="Body"/>
        <w:ind w:left="720" w:firstLine="0"/>
      </w:pPr>
      <w:r>
        <w:rPr>
          <w:rStyle w:val="None"/>
          <w:b w:val="1"/>
          <w:bCs w:val="1"/>
          <w:rtl w:val="0"/>
          <w:lang w:val="en-US"/>
        </w:rPr>
        <w:t xml:space="preserve">Absent: </w:t>
      </w:r>
      <w:r>
        <w:rPr>
          <w:rtl w:val="0"/>
          <w:lang w:val="en-US"/>
        </w:rPr>
        <w:t xml:space="preserve">Reginald Blake, Marta Effigner-Crichlow, Aida Egues, Laina Karthikeyan, and Anne Leonard. </w:t>
      </w:r>
    </w:p>
    <w:p>
      <w:pPr>
        <w:pStyle w:val="Body"/>
        <w:ind w:left="720" w:firstLine="0"/>
        <w:rPr>
          <w:rStyle w:val="None"/>
          <w:b w:val="1"/>
          <w:bCs w:val="1"/>
        </w:rPr>
      </w:pPr>
    </w:p>
    <w:p>
      <w:pPr>
        <w:pStyle w:val="Body"/>
        <w:numPr>
          <w:ilvl w:val="0"/>
          <w:numId w:val="20"/>
        </w:numPr>
        <w:rPr>
          <w:lang w:val="en-US"/>
        </w:rPr>
      </w:pPr>
      <w:r>
        <w:rPr>
          <w:rtl w:val="0"/>
          <w:lang w:val="en-US"/>
        </w:rPr>
        <w:t>Approval of minutes from October 11 and November 8, 2018</w:t>
      </w:r>
    </w:p>
    <w:p>
      <w:pPr>
        <w:pStyle w:val="Body"/>
        <w:numPr>
          <w:ilvl w:val="1"/>
          <w:numId w:val="20"/>
        </w:numPr>
        <w:bidi w:val="0"/>
        <w:ind w:right="0"/>
        <w:jc w:val="left"/>
        <w:rPr>
          <w:b w:val="1"/>
          <w:bCs w:val="1"/>
          <w:rtl w:val="0"/>
          <w:lang w:val="en-US"/>
        </w:rPr>
      </w:pPr>
      <w:r>
        <w:rPr>
          <w:b w:val="1"/>
          <w:bCs w:val="1"/>
          <w:rtl w:val="0"/>
          <w:lang w:val="en-US"/>
        </w:rPr>
        <w:t>October- Minor corrections (spelling and excuse absences)</w:t>
      </w:r>
      <w:r>
        <w:rPr>
          <w:rFonts w:ascii="Arial Unicode MS" w:cs="Arial Unicode MS" w:hAnsi="Arial Unicode MS" w:eastAsia="Arial Unicode MS"/>
          <w:b w:val="0"/>
          <w:bCs w:val="0"/>
          <w:i w:val="0"/>
          <w:iCs w:val="0"/>
        </w:rPr>
        <w:br w:type="textWrapping"/>
      </w:r>
      <w:r>
        <w:rPr>
          <w:b w:val="1"/>
          <w:bCs w:val="1"/>
          <w:rtl w:val="0"/>
          <w:lang w:val="en-US"/>
        </w:rPr>
        <w:t>November- Date correction</w:t>
      </w:r>
    </w:p>
    <w:p>
      <w:pPr>
        <w:pStyle w:val="Body"/>
        <w:ind w:left="720" w:firstLine="0"/>
        <w:rPr>
          <w:rStyle w:val="None"/>
          <w:b w:val="1"/>
          <w:bCs w:val="1"/>
        </w:rPr>
      </w:pPr>
      <w:r>
        <w:rPr>
          <w:rStyle w:val="None"/>
          <w:b w:val="1"/>
          <w:bCs w:val="1"/>
          <w:shd w:val="clear" w:color="auto" w:fill="ffff00"/>
          <w:rtl w:val="0"/>
          <w:lang w:val="en-US"/>
        </w:rPr>
        <w:t>&gt;Motion to vote: Diana, second Laureen: unanimous vote in favor of both minutes</w:t>
      </w:r>
    </w:p>
    <w:p>
      <w:pPr>
        <w:pStyle w:val="Body"/>
        <w:numPr>
          <w:ilvl w:val="0"/>
          <w:numId w:val="20"/>
        </w:numPr>
      </w:pPr>
      <w:r>
        <w:rPr>
          <w:rtl w:val="0"/>
        </w:rPr>
        <w:t>C</w:t>
      </w:r>
      <w:r>
        <w:rPr>
          <w:rStyle w:val="None"/>
          <w:spacing w:val="0"/>
          <w:rtl w:val="0"/>
          <w:lang w:val="en-US"/>
        </w:rPr>
        <w:t xml:space="preserve">ourses for recommendation vote </w:t>
      </w:r>
    </w:p>
    <w:p>
      <w:pPr>
        <w:pStyle w:val="Body"/>
        <w:ind w:left="720" w:firstLine="0"/>
      </w:pPr>
    </w:p>
    <w:p>
      <w:pPr>
        <w:pStyle w:val="List Paragraph"/>
        <w:numPr>
          <w:ilvl w:val="0"/>
          <w:numId w:val="22"/>
        </w:numPr>
        <w:bidi w:val="0"/>
        <w:ind w:right="0"/>
        <w:jc w:val="left"/>
        <w:rPr>
          <w:rFonts w:ascii="Times New Roman" w:hAnsi="Times New Roman"/>
          <w:b w:val="1"/>
          <w:bCs w:val="1"/>
          <w:rtl w:val="0"/>
          <w:lang w:val="en-US"/>
        </w:rPr>
      </w:pPr>
      <w:r>
        <w:rPr>
          <w:rStyle w:val="None"/>
          <w:rFonts w:ascii="Times New Roman" w:hAnsi="Times New Roman"/>
          <w:b w:val="0"/>
          <w:bCs w:val="0"/>
          <w:rtl w:val="0"/>
          <w:lang w:val="en-US"/>
        </w:rPr>
        <w:t>PHIL2202ID Symbolic Logic, Laureen Park</w:t>
      </w:r>
    </w:p>
    <w:p>
      <w:pPr>
        <w:pStyle w:val="List Paragraph"/>
        <w:ind w:left="1080" w:firstLine="0"/>
        <w:rPr>
          <w:rStyle w:val="None"/>
          <w:b w:val="1"/>
          <w:bCs w:val="1"/>
        </w:rPr>
      </w:pPr>
      <w:r>
        <w:rPr>
          <w:rStyle w:val="None"/>
          <w:b w:val="1"/>
          <w:bCs w:val="1"/>
          <w:u w:val="single"/>
          <w:rtl w:val="0"/>
          <w:lang w:val="en-US"/>
        </w:rPr>
        <w:t>Reviews:</w:t>
      </w:r>
      <w:r>
        <w:rPr>
          <w:rStyle w:val="None"/>
          <w:b w:val="1"/>
          <w:bCs w:val="1"/>
          <w:rtl w:val="0"/>
          <w:lang w:val="en-US"/>
        </w:rPr>
        <w:t xml:space="preserve"> Presented by proposed. One reviewer not present/review: the review was presented to committee on computer.  Half of guest lectures from Math, also CET and CST.  Perhaps too narrow a focus. Recommendation to incorporate more disciplines. Logic principles from philosophical standpoint (ontology and fundamental form). More general approach and systematic.  Strength: would attract a wide audience of students. Concern: redundancy in terms of course offerings.  But this reiteration of the course is ideal for ID designation.  Currently in council</w:t>
      </w:r>
      <w:r>
        <w:rPr>
          <w:rStyle w:val="None"/>
          <w:b w:val="1"/>
          <w:bCs w:val="1"/>
          <w:rtl w:val="0"/>
          <w:lang w:val="en-US"/>
        </w:rPr>
        <w:t xml:space="preserve">… </w:t>
      </w:r>
      <w:r>
        <w:rPr>
          <w:rStyle w:val="None"/>
          <w:b w:val="1"/>
          <w:bCs w:val="1"/>
          <w:rtl w:val="0"/>
          <w:lang w:val="en-US"/>
        </w:rPr>
        <w:t>curriculum committee looking for reviewers. Change in app</w:t>
      </w:r>
      <w:r>
        <w:rPr>
          <w:rStyle w:val="None"/>
          <w:b w:val="1"/>
          <w:bCs w:val="1"/>
          <w:rtl w:val="0"/>
          <w:lang w:val="en-US"/>
        </w:rPr>
        <w:t>—</w:t>
      </w:r>
      <w:r>
        <w:rPr>
          <w:rStyle w:val="None"/>
          <w:b w:val="1"/>
          <w:bCs w:val="1"/>
          <w:rtl w:val="0"/>
          <w:lang w:val="en-US"/>
        </w:rPr>
        <w:t xml:space="preserve">ALL sections will be ID. </w:t>
      </w:r>
    </w:p>
    <w:p>
      <w:pPr>
        <w:pStyle w:val="Body"/>
        <w:rPr>
          <w:rStyle w:val="None"/>
          <w:b w:val="1"/>
          <w:bCs w:val="1"/>
        </w:rPr>
      </w:pPr>
      <w:r>
        <w:rPr>
          <w:rStyle w:val="None"/>
          <w:b w:val="1"/>
          <w:bCs w:val="1"/>
        </w:rPr>
        <w:tab/>
      </w:r>
      <w:r>
        <w:rPr>
          <w:rStyle w:val="None"/>
          <w:rFonts w:cs="Arial Unicode MS" w:eastAsia="Arial Unicode MS"/>
          <w:b w:val="1"/>
          <w:bCs w:val="1"/>
          <w:shd w:val="clear" w:color="auto" w:fill="ffff00"/>
          <w:rtl w:val="0"/>
          <w:lang w:val="en-US"/>
        </w:rPr>
        <w:t>&gt;Motion to vote: Candido, Heidi seconded. Vote: unanimous in favor of recommendation.</w:t>
      </w:r>
      <w:r>
        <w:rPr>
          <w:rStyle w:val="None"/>
          <w:rFonts w:cs="Arial Unicode MS" w:eastAsia="Arial Unicode MS"/>
          <w:b w:val="1"/>
          <w:bCs w:val="1"/>
          <w:rtl w:val="0"/>
        </w:rPr>
        <w:t xml:space="preserve">  </w:t>
      </w:r>
    </w:p>
    <w:p>
      <w:pPr>
        <w:pStyle w:val="Body"/>
        <w:rPr>
          <w:rStyle w:val="None"/>
          <w:b w:val="1"/>
          <w:bCs w:val="1"/>
        </w:rPr>
      </w:pPr>
      <w:r>
        <w:rPr>
          <w:rStyle w:val="None"/>
          <w:b w:val="1"/>
          <w:bCs w:val="1"/>
        </w:rPr>
        <w:tab/>
      </w:r>
    </w:p>
    <w:p>
      <w:pPr>
        <w:pStyle w:val="List Paragraph"/>
        <w:ind w:left="1080" w:firstLine="0"/>
        <w:rPr>
          <w:rStyle w:val="None"/>
          <w:rFonts w:ascii="Times New Roman" w:cs="Times New Roman" w:hAnsi="Times New Roman" w:eastAsia="Times New Roman"/>
          <w:b w:val="1"/>
          <w:bCs w:val="1"/>
        </w:rPr>
      </w:pPr>
    </w:p>
    <w:p>
      <w:pPr>
        <w:pStyle w:val="List Paragraph"/>
        <w:numPr>
          <w:ilvl w:val="0"/>
          <w:numId w:val="22"/>
        </w:numPr>
        <w:bidi w:val="0"/>
        <w:ind w:right="0"/>
        <w:jc w:val="left"/>
        <w:rPr>
          <w:rFonts w:ascii="Times New Roman" w:hAnsi="Times New Roman"/>
          <w:rtl w:val="0"/>
          <w:lang w:val="en-US"/>
        </w:rPr>
      </w:pPr>
      <w:r>
        <w:rPr>
          <w:rFonts w:ascii="Times New Roman" w:hAnsi="Times New Roman"/>
          <w:rtl w:val="0"/>
          <w:lang w:val="en-US"/>
        </w:rPr>
        <w:t>THE3000/LAW3000 Theatre of Law, Standing, Moran</w:t>
      </w:r>
    </w:p>
    <w:p>
      <w:pPr>
        <w:pStyle w:val="Body"/>
        <w:ind w:left="720" w:firstLine="360"/>
        <w:rPr>
          <w:rStyle w:val="None"/>
          <w:b w:val="1"/>
          <w:bCs w:val="1"/>
        </w:rPr>
      </w:pPr>
      <w:r>
        <w:rPr>
          <w:rStyle w:val="None"/>
          <w:b w:val="1"/>
          <w:bCs w:val="1"/>
          <w:u w:val="single"/>
          <w:rtl w:val="0"/>
          <w:lang w:val="en-US"/>
        </w:rPr>
        <w:t>Reviews:</w:t>
      </w:r>
      <w:r>
        <w:rPr>
          <w:rStyle w:val="None"/>
          <w:b w:val="1"/>
          <w:bCs w:val="1"/>
          <w:rtl w:val="0"/>
          <w:lang w:val="en-US"/>
        </w:rPr>
        <w:t xml:space="preserve">  Two reviewers </w:t>
      </w:r>
      <w:r>
        <w:rPr>
          <w:rStyle w:val="None"/>
          <w:b w:val="1"/>
          <w:bCs w:val="1"/>
          <w:rtl w:val="0"/>
        </w:rPr>
        <w:t>“</w:t>
      </w:r>
      <w:r>
        <w:rPr>
          <w:rStyle w:val="None"/>
          <w:b w:val="1"/>
          <w:bCs w:val="1"/>
          <w:rtl w:val="0"/>
          <w:lang w:val="en-US"/>
        </w:rPr>
        <w:t>not fully cooked</w:t>
      </w:r>
      <w:r>
        <w:rPr>
          <w:rStyle w:val="None"/>
          <w:b w:val="1"/>
          <w:bCs w:val="1"/>
          <w:rtl w:val="0"/>
        </w:rPr>
        <w:t xml:space="preserve">” </w:t>
      </w:r>
    </w:p>
    <w:p>
      <w:pPr>
        <w:pStyle w:val="Body"/>
        <w:ind w:left="720" w:firstLine="360"/>
        <w:rPr>
          <w:rStyle w:val="None"/>
          <w:b w:val="1"/>
          <w:bCs w:val="1"/>
        </w:rPr>
      </w:pPr>
      <w:r>
        <w:rPr>
          <w:rStyle w:val="None"/>
          <w:b w:val="1"/>
          <w:bCs w:val="1"/>
          <w:rtl w:val="0"/>
          <w:lang w:val="en-US"/>
        </w:rPr>
        <w:t>-App and syllabus did connect</w:t>
      </w:r>
    </w:p>
    <w:p>
      <w:pPr>
        <w:pStyle w:val="Body"/>
        <w:ind w:left="360" w:firstLine="720"/>
        <w:rPr>
          <w:rStyle w:val="None"/>
          <w:b w:val="1"/>
          <w:bCs w:val="1"/>
        </w:rPr>
      </w:pPr>
      <w:r>
        <w:rPr>
          <w:rStyle w:val="None"/>
          <w:b w:val="1"/>
          <w:bCs w:val="1"/>
          <w:rtl w:val="0"/>
          <w:lang w:val="en-US"/>
        </w:rPr>
        <w:t xml:space="preserve">-Main goal of synthesis was not quite purposeful. </w:t>
      </w:r>
      <w:r>
        <w:rPr>
          <w:rStyle w:val="None"/>
          <w:b w:val="1"/>
          <w:bCs w:val="1"/>
          <w:i w:val="1"/>
          <w:iCs w:val="1"/>
          <w:rtl w:val="0"/>
          <w:lang w:val="en-US"/>
        </w:rPr>
        <w:t>Need more integration</w:t>
      </w:r>
      <w:r>
        <w:rPr>
          <w:rStyle w:val="None"/>
          <w:b w:val="1"/>
          <w:bCs w:val="1"/>
          <w:rtl w:val="0"/>
        </w:rPr>
        <w:t xml:space="preserve">.  </w:t>
      </w:r>
    </w:p>
    <w:p>
      <w:pPr>
        <w:pStyle w:val="Body"/>
        <w:ind w:left="360" w:firstLine="720"/>
        <w:rPr>
          <w:rStyle w:val="None"/>
          <w:b w:val="1"/>
          <w:bCs w:val="1"/>
        </w:rPr>
      </w:pPr>
      <w:r>
        <w:rPr>
          <w:rStyle w:val="None"/>
          <w:b w:val="1"/>
          <w:bCs w:val="1"/>
          <w:rtl w:val="0"/>
          <w:lang w:val="en-US"/>
        </w:rPr>
        <w:t xml:space="preserve">-Connections need to be made more explicit for students (e.g., readings). </w:t>
      </w:r>
      <w:r>
        <w:rPr>
          <w:rStyle w:val="None"/>
          <w:b w:val="1"/>
          <w:bCs w:val="1"/>
          <w:rtl w:val="0"/>
        </w:rPr>
        <w:t>–</w:t>
      </w:r>
    </w:p>
    <w:p>
      <w:pPr>
        <w:pStyle w:val="Body"/>
        <w:ind w:left="360" w:firstLine="720"/>
        <w:rPr>
          <w:rStyle w:val="None"/>
          <w:b w:val="1"/>
          <w:bCs w:val="1"/>
        </w:rPr>
      </w:pPr>
      <w:r>
        <w:rPr>
          <w:rStyle w:val="None"/>
          <w:b w:val="1"/>
          <w:bCs w:val="1"/>
          <w:rtl w:val="0"/>
          <w:lang w:val="en-US"/>
        </w:rPr>
        <w:t xml:space="preserve">- Assignments were stellar. </w:t>
      </w:r>
    </w:p>
    <w:p>
      <w:pPr>
        <w:pStyle w:val="Body"/>
        <w:ind w:left="1080" w:firstLine="0"/>
        <w:rPr>
          <w:rStyle w:val="None"/>
          <w:b w:val="1"/>
          <w:bCs w:val="1"/>
        </w:rPr>
      </w:pPr>
      <w:r>
        <w:rPr>
          <w:rStyle w:val="None"/>
          <w:b w:val="1"/>
          <w:bCs w:val="1"/>
          <w:rtl w:val="0"/>
          <w:lang w:val="en-US"/>
        </w:rPr>
        <w:t xml:space="preserve">-Final assignment and final paper seemed like a lot.  More scaffolding/smaller written assignments throughout course.  </w:t>
      </w:r>
    </w:p>
    <w:p>
      <w:pPr>
        <w:pStyle w:val="Body"/>
        <w:ind w:left="1080" w:firstLine="0"/>
        <w:rPr>
          <w:rStyle w:val="None"/>
          <w:b w:val="1"/>
          <w:bCs w:val="1"/>
        </w:rPr>
      </w:pPr>
      <w:r>
        <w:rPr>
          <w:rStyle w:val="None"/>
          <w:b w:val="1"/>
          <w:bCs w:val="1"/>
          <w:rtl w:val="0"/>
          <w:lang w:val="en-US"/>
        </w:rPr>
        <w:t xml:space="preserve">-Themes were great.  Has potential to pull in more disciplines., e.g., history, ethics, media. </w:t>
      </w:r>
    </w:p>
    <w:p>
      <w:pPr>
        <w:pStyle w:val="Body"/>
        <w:ind w:left="720" w:firstLine="0"/>
        <w:rPr>
          <w:rStyle w:val="None"/>
          <w:b w:val="1"/>
          <w:bCs w:val="1"/>
        </w:rPr>
      </w:pPr>
      <w:r>
        <w:rPr>
          <w:rStyle w:val="None"/>
          <w:b w:val="1"/>
          <w:bCs w:val="1"/>
          <w:shd w:val="clear" w:color="auto" w:fill="ffff00"/>
          <w:rtl w:val="0"/>
          <w:lang w:val="en-US"/>
        </w:rPr>
        <w:t>&gt;Will wait until feedback to move to vote.  VERY optimistic. Please go ahead to council. Problems not with learning objectives or class description, but with structure and level of integration.</w:t>
      </w:r>
    </w:p>
    <w:p>
      <w:pPr>
        <w:pStyle w:val="Body"/>
        <w:rPr>
          <w:rStyle w:val="None"/>
          <w:b w:val="1"/>
          <w:bCs w:val="1"/>
        </w:rPr>
      </w:pPr>
    </w:p>
    <w:p>
      <w:pPr>
        <w:pStyle w:val="List Paragraph"/>
        <w:numPr>
          <w:ilvl w:val="0"/>
          <w:numId w:val="22"/>
        </w:numPr>
        <w:bidi w:val="0"/>
        <w:ind w:right="0"/>
        <w:jc w:val="left"/>
        <w:rPr>
          <w:rFonts w:ascii="Times New Roman" w:hAnsi="Times New Roman"/>
          <w:rtl w:val="0"/>
          <w:lang w:val="en-US"/>
        </w:rPr>
      </w:pPr>
      <w:r>
        <w:rPr>
          <w:rFonts w:ascii="Times New Roman" w:hAnsi="Times New Roman"/>
          <w:rtl w:val="0"/>
          <w:lang w:val="en-US"/>
        </w:rPr>
        <w:t>COM2403ID Health Communication, Lee</w:t>
      </w:r>
    </w:p>
    <w:p>
      <w:pPr>
        <w:pStyle w:val="Body"/>
        <w:ind w:left="720" w:firstLine="360"/>
        <w:rPr>
          <w:rStyle w:val="None"/>
          <w:b w:val="1"/>
          <w:bCs w:val="1"/>
        </w:rPr>
      </w:pPr>
      <w:r>
        <w:rPr>
          <w:rStyle w:val="None"/>
          <w:b w:val="1"/>
          <w:bCs w:val="1"/>
          <w:u w:val="single"/>
          <w:rtl w:val="0"/>
          <w:lang w:val="en-US"/>
        </w:rPr>
        <w:t>Reviews:</w:t>
      </w:r>
      <w:r>
        <w:rPr>
          <w:rStyle w:val="None"/>
          <w:b w:val="1"/>
          <w:bCs w:val="1"/>
          <w:rtl w:val="0"/>
          <w:lang w:val="en-US"/>
        </w:rPr>
        <w:t xml:space="preserve"> One reviewer. Distinction made using applied health fields. A perfect candidate for ID course.  Upon syllabus review: very promising.  Com-D (visual comm), Architecture</w:t>
      </w:r>
      <w:r>
        <w:rPr>
          <w:rStyle w:val="None"/>
          <w:b w:val="1"/>
          <w:bCs w:val="1"/>
          <w:rtl w:val="0"/>
        </w:rPr>
        <w:t xml:space="preserve">… </w:t>
      </w:r>
      <w:r>
        <w:rPr>
          <w:rStyle w:val="None"/>
          <w:b w:val="1"/>
          <w:bCs w:val="1"/>
          <w:rtl w:val="0"/>
          <w:lang w:val="en-US"/>
        </w:rPr>
        <w:t>encouraging to incorporate many disciplines.  Speakers to provide reading assignments, and assessments should be focused on the contributions made by guest lectures.  Very strong final project and the several variations made available. Monica</w:t>
      </w:r>
      <w:r>
        <w:rPr>
          <w:rStyle w:val="None"/>
          <w:b w:val="1"/>
          <w:bCs w:val="1"/>
          <w:rtl w:val="0"/>
          <w:lang w:val="en-US"/>
        </w:rPr>
        <w:t>—</w:t>
      </w:r>
      <w:r>
        <w:rPr>
          <w:rStyle w:val="None"/>
          <w:b w:val="1"/>
          <w:bCs w:val="1"/>
          <w:rtl w:val="0"/>
          <w:lang w:val="en-US"/>
        </w:rPr>
        <w:t>more health</w:t>
      </w:r>
    </w:p>
    <w:p>
      <w:pPr>
        <w:pStyle w:val="Body"/>
        <w:ind w:left="360" w:firstLine="0"/>
        <w:rPr>
          <w:rStyle w:val="None"/>
          <w:b w:val="1"/>
          <w:bCs w:val="1"/>
        </w:rPr>
      </w:pPr>
      <w:r>
        <w:rPr>
          <w:rStyle w:val="None"/>
          <w:b w:val="1"/>
          <w:bCs w:val="1"/>
          <w:shd w:val="clear" w:color="auto" w:fill="ffff00"/>
          <w:rtl w:val="0"/>
          <w:lang w:val="en-US"/>
        </w:rPr>
        <w:t>&gt;Motion to vote, Amanda. Anna, seconded. Unanimous vote in favor of recommendation.</w:t>
      </w:r>
      <w:r>
        <w:rPr>
          <w:rStyle w:val="None"/>
          <w:b w:val="1"/>
          <w:bCs w:val="1"/>
          <w:rtl w:val="0"/>
        </w:rPr>
        <w:t xml:space="preserve"> </w:t>
      </w:r>
    </w:p>
    <w:p>
      <w:pPr>
        <w:pStyle w:val="Body"/>
        <w:ind w:left="720" w:firstLine="0"/>
        <w:rPr>
          <w:rStyle w:val="Link"/>
          <w:color w:val="000000"/>
          <w:u w:color="000000"/>
        </w:rPr>
      </w:pPr>
    </w:p>
    <w:p>
      <w:pPr>
        <w:pStyle w:val="List Paragraph"/>
        <w:numPr>
          <w:ilvl w:val="0"/>
          <w:numId w:val="20"/>
        </w:numPr>
        <w:bidi w:val="0"/>
        <w:ind w:right="0"/>
        <w:jc w:val="left"/>
        <w:rPr>
          <w:rFonts w:ascii="Times New Roman" w:hAnsi="Times New Roman"/>
          <w:color w:val="0000ff"/>
          <w:rtl w:val="0"/>
          <w:lang w:val="en-US"/>
        </w:rPr>
      </w:pPr>
      <w:r>
        <w:rPr>
          <w:rStyle w:val="None"/>
          <w:rFonts w:ascii="Times New Roman" w:hAnsi="Times New Roman"/>
          <w:color w:val="000000"/>
          <w:rtl w:val="0"/>
          <w:lang w:val="en-US"/>
        </w:rPr>
        <w:t>ID Ad Hoc Working Group: Recruitment</w:t>
      </w:r>
    </w:p>
    <w:p>
      <w:pPr>
        <w:pStyle w:val="List Paragraph"/>
        <w:numPr>
          <w:ilvl w:val="1"/>
          <w:numId w:val="20"/>
        </w:numPr>
        <w:bidi w:val="0"/>
        <w:ind w:right="0"/>
        <w:jc w:val="left"/>
        <w:rPr>
          <w:rFonts w:ascii="Times New Roman" w:hAnsi="Times New Roman"/>
          <w:b w:val="1"/>
          <w:bCs w:val="1"/>
          <w:color w:val="0000ff"/>
          <w:rtl w:val="0"/>
          <w:lang w:val="en-US"/>
        </w:rPr>
      </w:pPr>
      <w:r>
        <w:rPr>
          <w:rStyle w:val="None"/>
          <w:rFonts w:ascii="Times New Roman" w:hAnsi="Times New Roman"/>
          <w:b w:val="1"/>
          <w:bCs w:val="1"/>
          <w:color w:val="000000"/>
          <w:rtl w:val="0"/>
          <w:lang w:val="en-US"/>
        </w:rPr>
        <w:t xml:space="preserve">Jean, Heidi, Robert, Olufemi, Anna, Ezra, Amanda </w:t>
      </w:r>
      <w:r>
        <w:rPr>
          <w:rStyle w:val="None"/>
          <w:rFonts w:ascii="Arial Unicode MS" w:cs="Arial Unicode MS" w:hAnsi="Arial Unicode MS" w:eastAsia="Arial Unicode MS"/>
          <w:b w:val="0"/>
          <w:bCs w:val="0"/>
          <w:i w:val="0"/>
          <w:iCs w:val="0"/>
          <w:color w:val="000000"/>
        </w:rPr>
        <w:br w:type="textWrapping"/>
      </w:r>
    </w:p>
    <w:p>
      <w:pPr>
        <w:pStyle w:val="List Paragraph"/>
        <w:numPr>
          <w:ilvl w:val="0"/>
          <w:numId w:val="20"/>
        </w:numPr>
        <w:bidi w:val="0"/>
        <w:ind w:right="0"/>
        <w:jc w:val="left"/>
        <w:rPr>
          <w:rFonts w:ascii="Times New Roman" w:hAnsi="Times New Roman"/>
          <w:rtl w:val="0"/>
          <w:lang w:val="en-US"/>
        </w:rPr>
      </w:pPr>
      <w:r>
        <w:rPr>
          <w:rFonts w:ascii="Times New Roman" w:hAnsi="Times New Roman"/>
          <w:rtl w:val="0"/>
          <w:lang w:val="en-US"/>
        </w:rPr>
        <w:t>Discussion of guest lecturer form updates, Sean MacDonald</w:t>
      </w:r>
    </w:p>
    <w:p>
      <w:pPr>
        <w:pStyle w:val="List Paragraph"/>
        <w:numPr>
          <w:ilvl w:val="1"/>
          <w:numId w:val="20"/>
        </w:numPr>
        <w:bidi w:val="0"/>
        <w:ind w:right="0"/>
        <w:jc w:val="left"/>
        <w:rPr>
          <w:rFonts w:ascii="Times New Roman" w:hAnsi="Times New Roman"/>
          <w:rtl w:val="0"/>
          <w:lang w:val="en-US"/>
        </w:rPr>
      </w:pPr>
      <w:r>
        <w:rPr>
          <w:rStyle w:val="None"/>
          <w:rFonts w:ascii="Times New Roman" w:hAnsi="Times New Roman"/>
          <w:b w:val="1"/>
          <w:bCs w:val="1"/>
          <w:rtl w:val="0"/>
          <w:lang w:val="en-US"/>
        </w:rPr>
        <w:t>Update</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 xml:space="preserve">include 2 credits per year. </w:t>
      </w:r>
      <w:r>
        <w:rPr>
          <w:rFonts w:ascii="Arial Unicode MS" w:cs="Arial Unicode MS" w:hAnsi="Arial Unicode MS" w:eastAsia="Arial Unicode MS"/>
          <w:b w:val="0"/>
          <w:bCs w:val="0"/>
          <w:i w:val="0"/>
          <w:iCs w:val="0"/>
        </w:rPr>
        <w:br w:type="textWrapping"/>
      </w:r>
    </w:p>
    <w:p>
      <w:pPr>
        <w:pStyle w:val="List Paragraph"/>
        <w:numPr>
          <w:ilvl w:val="0"/>
          <w:numId w:val="20"/>
        </w:numPr>
        <w:bidi w:val="0"/>
        <w:ind w:right="0"/>
        <w:jc w:val="left"/>
        <w:rPr>
          <w:rFonts w:ascii="Times New Roman" w:hAnsi="Times New Roman"/>
          <w:rtl w:val="0"/>
          <w:lang w:val="en-US"/>
        </w:rPr>
      </w:pPr>
      <w:r>
        <w:rPr>
          <w:rFonts w:ascii="Times New Roman" w:hAnsi="Times New Roman"/>
          <w:rtl w:val="0"/>
          <w:lang w:val="en-US"/>
        </w:rPr>
        <w:t xml:space="preserve">NYSED </w:t>
      </w:r>
      <w:r>
        <w:rPr>
          <w:rFonts w:ascii="Times New Roman" w:hAnsi="Times New Roman" w:hint="default"/>
          <w:rtl w:val="0"/>
          <w:lang w:val="en-US"/>
        </w:rPr>
        <w:t>“</w:t>
      </w:r>
      <w:r>
        <w:rPr>
          <w:rFonts w:ascii="Times New Roman" w:hAnsi="Times New Roman"/>
          <w:rtl w:val="0"/>
          <w:lang w:val="en-US"/>
        </w:rPr>
        <w:t>Policy Statement on Liberal Arts and Sciences</w:t>
      </w:r>
      <w:r>
        <w:rPr>
          <w:rFonts w:ascii="Times New Roman" w:hAnsi="Times New Roman" w:hint="default"/>
          <w:rtl w:val="0"/>
          <w:lang w:val="en-US"/>
        </w:rPr>
        <w:t xml:space="preserve">” </w:t>
      </w:r>
      <w:r>
        <w:rPr>
          <w:rFonts w:ascii="Times New Roman" w:hAnsi="Times New Roman"/>
          <w:rtl w:val="0"/>
          <w:lang w:val="en-US"/>
        </w:rPr>
        <w:t>new link:</w:t>
      </w:r>
      <w:r>
        <w:rPr>
          <w:rFonts w:ascii="Arial Unicode MS" w:cs="Arial Unicode MS" w:hAnsi="Arial Unicode MS" w:eastAsia="Arial Unicode MS"/>
          <w:b w:val="0"/>
          <w:bCs w:val="0"/>
          <w:i w:val="0"/>
          <w:iCs w:val="0"/>
        </w:rPr>
        <w:br w:type="textWrapping"/>
      </w:r>
      <w:r>
        <w:rPr>
          <w:rStyle w:val="Hyperlink.3"/>
          <w:rFonts w:ascii="Times New Roman" w:cs="Times New Roman" w:hAnsi="Times New Roman" w:eastAsia="Times New Roman"/>
        </w:rPr>
        <w:fldChar w:fldCharType="begin" w:fldLock="0"/>
      </w:r>
      <w:r>
        <w:rPr>
          <w:rStyle w:val="Hyperlink.3"/>
          <w:rFonts w:ascii="Times New Roman" w:cs="Times New Roman" w:hAnsi="Times New Roman" w:eastAsia="Times New Roman"/>
        </w:rPr>
        <w:instrText xml:space="preserve"> HYPERLINK "http://www.nysed.gov/college-university-evaluation/department-expectations-curriculum"</w:instrText>
      </w:r>
      <w:r>
        <w:rPr>
          <w:rStyle w:val="Hyperlink.3"/>
          <w:rFonts w:ascii="Times New Roman" w:cs="Times New Roman" w:hAnsi="Times New Roman" w:eastAsia="Times New Roman"/>
        </w:rPr>
        <w:fldChar w:fldCharType="separate" w:fldLock="0"/>
      </w:r>
      <w:r>
        <w:rPr>
          <w:rStyle w:val="Hyperlink.3"/>
          <w:rFonts w:ascii="Times New Roman" w:hAnsi="Times New Roman"/>
          <w:rtl w:val="0"/>
          <w:lang w:val="en-US"/>
        </w:rPr>
        <w:t>http://www.nysed.gov/college-university-evaluation/department-expectations-curriculum</w:t>
      </w:r>
      <w:r>
        <w:rPr>
          <w:rFonts w:ascii="Times New Roman" w:cs="Times New Roman" w:hAnsi="Times New Roman" w:eastAsia="Times New Roman"/>
        </w:rPr>
        <w:fldChar w:fldCharType="end" w:fldLock="0"/>
      </w:r>
      <w:r>
        <w:rPr>
          <w:rFonts w:ascii="Times New Roman" w:hAnsi="Times New Roman"/>
          <w:rtl w:val="0"/>
          <w:lang w:val="en-US"/>
        </w:rPr>
        <w:t xml:space="preserve"> </w:t>
      </w:r>
      <w:r>
        <w:rPr>
          <w:rStyle w:val="None"/>
          <w:rFonts w:ascii="Times New Roman" w:hAnsi="Times New Roman"/>
          <w:b w:val="1"/>
          <w:bCs w:val="1"/>
          <w:rtl w:val="0"/>
          <w:lang w:val="en-US"/>
        </w:rPr>
        <w:t xml:space="preserve">Noted by IDC Chair. (updated application to include link). </w:t>
      </w:r>
    </w:p>
    <w:p>
      <w:pPr>
        <w:pStyle w:val="List Paragraph"/>
        <w:rPr>
          <w:rStyle w:val="None"/>
          <w:rFonts w:ascii="Times New Roman" w:cs="Times New Roman" w:hAnsi="Times New Roman" w:eastAsia="Times New Roman"/>
        </w:rPr>
      </w:pPr>
    </w:p>
    <w:p>
      <w:pPr>
        <w:pStyle w:val="List Paragraph"/>
        <w:numPr>
          <w:ilvl w:val="0"/>
          <w:numId w:val="20"/>
        </w:numPr>
        <w:bidi w:val="0"/>
        <w:ind w:right="0"/>
        <w:jc w:val="left"/>
        <w:rPr>
          <w:rFonts w:ascii="Times New Roman" w:hAnsi="Times New Roman"/>
          <w:rtl w:val="0"/>
          <w:lang w:val="en-US"/>
        </w:rPr>
      </w:pPr>
      <w:r>
        <w:rPr>
          <w:rFonts w:ascii="Times New Roman" w:hAnsi="Times New Roman"/>
          <w:rtl w:val="0"/>
          <w:lang w:val="en-US"/>
        </w:rPr>
        <w:t>Best Practices for Interdisciplinary Course Observations, Diana Mincyte</w:t>
      </w:r>
    </w:p>
    <w:p>
      <w:pPr>
        <w:pStyle w:val="Body"/>
        <w:ind w:left="720" w:firstLine="0"/>
        <w:rPr>
          <w:rStyle w:val="None"/>
          <w:b w:val="1"/>
          <w:bCs w:val="1"/>
        </w:rPr>
      </w:pPr>
      <w:r>
        <w:rPr>
          <w:rStyle w:val="None"/>
          <w:b w:val="1"/>
          <w:bCs w:val="1"/>
          <w:rtl w:val="0"/>
          <w:lang w:val="en-US"/>
        </w:rPr>
        <w:t xml:space="preserve">Review of </w:t>
      </w:r>
      <w:r>
        <w:rPr>
          <w:rStyle w:val="None"/>
          <w:b w:val="1"/>
          <w:bCs w:val="1"/>
          <w:rtl w:val="0"/>
        </w:rPr>
        <w:t>“</w:t>
      </w:r>
      <w:r>
        <w:rPr>
          <w:rStyle w:val="None"/>
          <w:b w:val="1"/>
          <w:bCs w:val="1"/>
          <w:rtl w:val="0"/>
          <w:lang w:val="en-US"/>
        </w:rPr>
        <w:t>Suggestions for Evaluation ID Courses</w:t>
      </w:r>
      <w:r>
        <w:rPr>
          <w:rStyle w:val="None"/>
          <w:b w:val="1"/>
          <w:bCs w:val="1"/>
          <w:rtl w:val="0"/>
        </w:rPr>
        <w:t xml:space="preserve">” </w:t>
      </w:r>
    </w:p>
    <w:p>
      <w:pPr>
        <w:pStyle w:val="Body"/>
        <w:ind w:left="720" w:firstLine="0"/>
        <w:rPr>
          <w:rStyle w:val="None"/>
          <w:b w:val="1"/>
          <w:bCs w:val="1"/>
        </w:rPr>
      </w:pPr>
      <w:r>
        <w:rPr>
          <w:rStyle w:val="None"/>
          <w:b w:val="1"/>
          <w:bCs w:val="1"/>
          <w:rtl w:val="0"/>
          <w:lang w:val="en-US"/>
        </w:rPr>
        <w:t xml:space="preserve">-Where should we have this form? </w:t>
      </w:r>
    </w:p>
    <w:p>
      <w:pPr>
        <w:pStyle w:val="Body"/>
        <w:ind w:left="450" w:firstLine="0"/>
        <w:rPr>
          <w:rStyle w:val="None"/>
          <w:b w:val="1"/>
          <w:bCs w:val="1"/>
          <w:shd w:val="clear" w:color="auto" w:fill="ffff00"/>
        </w:rPr>
      </w:pPr>
      <w:r>
        <w:rPr>
          <w:rStyle w:val="None"/>
          <w:b w:val="1"/>
          <w:bCs w:val="1"/>
          <w:shd w:val="clear" w:color="auto" w:fill="ffff00"/>
          <w:rtl w:val="0"/>
          <w:lang w:val="en-US"/>
        </w:rPr>
        <w:t xml:space="preserve">&gt; Sent via email to all ID Faculty AND on our website. </w:t>
      </w:r>
    </w:p>
    <w:p>
      <w:pPr>
        <w:pStyle w:val="Body"/>
        <w:ind w:left="450" w:firstLine="0"/>
        <w:rPr>
          <w:rStyle w:val="None"/>
          <w:b w:val="1"/>
          <w:bCs w:val="1"/>
        </w:rPr>
      </w:pPr>
      <w:r>
        <w:rPr>
          <w:rStyle w:val="None"/>
          <w:b w:val="1"/>
          <w:bCs w:val="1"/>
          <w:shd w:val="clear" w:color="auto" w:fill="ffff00"/>
          <w:rtl w:val="0"/>
          <w:lang w:val="en-US"/>
        </w:rPr>
        <w:t>&gt; End of year survey</w:t>
      </w:r>
      <w:r>
        <w:rPr>
          <w:rStyle w:val="None"/>
          <w:b w:val="1"/>
          <w:bCs w:val="1"/>
          <w:shd w:val="clear" w:color="auto" w:fill="ffff00"/>
          <w:rtl w:val="0"/>
          <w:lang w:val="en-US"/>
        </w:rPr>
        <w:t>—</w:t>
      </w:r>
      <w:r>
        <w:rPr>
          <w:rStyle w:val="None"/>
          <w:b w:val="1"/>
          <w:bCs w:val="1"/>
          <w:shd w:val="clear" w:color="auto" w:fill="ffff00"/>
          <w:rtl w:val="0"/>
          <w:lang w:val="en-US"/>
        </w:rPr>
        <w:t>how did the form work? Was this helpful?</w:t>
      </w:r>
      <w:r>
        <w:rPr>
          <w:rStyle w:val="None"/>
          <w:b w:val="1"/>
          <w:bCs w:val="1"/>
          <w:rtl w:val="0"/>
        </w:rPr>
        <w:t xml:space="preserve"> </w:t>
      </w:r>
    </w:p>
    <w:p>
      <w:pPr>
        <w:pStyle w:val="List Paragraph"/>
        <w:rPr>
          <w:rStyle w:val="None"/>
          <w:rFonts w:ascii="Times New Roman" w:cs="Times New Roman" w:hAnsi="Times New Roman" w:eastAsia="Times New Roman"/>
        </w:rPr>
      </w:pPr>
    </w:p>
    <w:p>
      <w:pPr>
        <w:pStyle w:val="List Paragraph"/>
        <w:numPr>
          <w:ilvl w:val="0"/>
          <w:numId w:val="20"/>
        </w:numPr>
        <w:bidi w:val="0"/>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IDS</w:t>
      </w:r>
      <w:r>
        <w:rPr>
          <w:rFonts w:ascii="Times New Roman" w:hAnsi="Times New Roman" w:hint="default"/>
          <w:rtl w:val="0"/>
          <w:lang w:val="en-US"/>
        </w:rPr>
        <w:t xml:space="preserve">” </w:t>
      </w:r>
      <w:r>
        <w:rPr>
          <w:rFonts w:ascii="Times New Roman" w:hAnsi="Times New Roman"/>
          <w:rtl w:val="0"/>
          <w:lang w:val="en-US"/>
        </w:rPr>
        <w:t>Minor curriculum change</w:t>
      </w:r>
    </w:p>
    <w:p>
      <w:pPr>
        <w:pStyle w:val="List Paragraph"/>
        <w:tabs>
          <w:tab w:val="left" w:pos="360"/>
          <w:tab w:val="left" w:pos="450"/>
        </w:tabs>
        <w:ind w:left="450" w:firstLine="0"/>
        <w:rPr>
          <w:rStyle w:val="None"/>
          <w:b w:val="1"/>
          <w:bCs w:val="1"/>
        </w:rPr>
      </w:pPr>
      <w:r>
        <w:rPr>
          <w:rStyle w:val="None"/>
          <w:b w:val="1"/>
          <w:bCs w:val="1"/>
          <w:shd w:val="clear" w:color="auto" w:fill="ffff00"/>
          <w:rtl w:val="0"/>
          <w:lang w:val="en-US"/>
        </w:rPr>
        <w:t>&gt;Homework: Come up with rationales as to why this will be useful and send to Reneta.</w:t>
      </w:r>
      <w:r>
        <w:rPr>
          <w:rStyle w:val="None"/>
          <w:b w:val="1"/>
          <w:bCs w:val="1"/>
          <w:rtl w:val="0"/>
          <w:lang w:val="en-US"/>
        </w:rPr>
        <w:t xml:space="preserve"> </w:t>
      </w:r>
    </w:p>
    <w:p>
      <w:pPr>
        <w:pStyle w:val="List Paragraph"/>
        <w:rPr>
          <w:rStyle w:val="None"/>
          <w:rFonts w:ascii="Times New Roman" w:cs="Times New Roman" w:hAnsi="Times New Roman" w:eastAsia="Times New Roman"/>
        </w:rPr>
      </w:pPr>
    </w:p>
    <w:p>
      <w:pPr>
        <w:pStyle w:val="List Paragraph"/>
        <w:numPr>
          <w:ilvl w:val="0"/>
          <w:numId w:val="20"/>
        </w:numPr>
        <w:bidi w:val="0"/>
        <w:ind w:right="0"/>
        <w:jc w:val="left"/>
        <w:rPr>
          <w:rFonts w:ascii="Times New Roman" w:hAnsi="Times New Roman"/>
          <w:rtl w:val="0"/>
          <w:lang w:val="en-US"/>
        </w:rPr>
      </w:pPr>
      <w:r>
        <w:rPr>
          <w:rFonts w:ascii="Times New Roman" w:hAnsi="Times New Roman"/>
          <w:rtl w:val="0"/>
          <w:lang w:val="en-US"/>
        </w:rPr>
        <w:t xml:space="preserve">Discussion of IDS </w:t>
      </w:r>
      <w:r>
        <w:rPr>
          <w:rFonts w:ascii="Times New Roman" w:hAnsi="Times New Roman" w:hint="default"/>
          <w:rtl w:val="0"/>
          <w:lang w:val="en-US"/>
        </w:rPr>
        <w:t>“</w:t>
      </w:r>
      <w:r>
        <w:rPr>
          <w:rFonts w:ascii="Times New Roman" w:hAnsi="Times New Roman"/>
          <w:rtl w:val="0"/>
          <w:lang w:val="en-US"/>
        </w:rPr>
        <w:t>ListServ</w:t>
      </w:r>
      <w:r>
        <w:rPr>
          <w:rFonts w:ascii="Times New Roman" w:hAnsi="Times New Roman" w:hint="default"/>
          <w:rtl w:val="0"/>
          <w:lang w:val="en-US"/>
        </w:rPr>
        <w:t xml:space="preserve">” </w:t>
      </w:r>
      <w:r>
        <w:rPr>
          <w:rFonts w:ascii="Times New Roman" w:hAnsi="Times New Roman"/>
          <w:rtl w:val="0"/>
          <w:lang w:val="en-US"/>
        </w:rPr>
        <w:t>equivalent, Monica Berger</w:t>
      </w:r>
    </w:p>
    <w:p>
      <w:pPr>
        <w:pStyle w:val="Body"/>
        <w:ind w:left="720" w:firstLine="0"/>
        <w:rPr>
          <w:rStyle w:val="None"/>
          <w:b w:val="1"/>
          <w:bCs w:val="1"/>
        </w:rPr>
      </w:pPr>
      <w:r>
        <w:rPr>
          <w:rStyle w:val="None"/>
          <w:b w:val="1"/>
          <w:bCs w:val="1"/>
          <w:rtl w:val="0"/>
          <w:lang w:val="en-US"/>
        </w:rPr>
        <w:t>Hurdles from City Tech; if hosted by CUNY Central</w:t>
      </w:r>
      <w:r>
        <w:rPr>
          <w:rStyle w:val="None"/>
          <w:b w:val="1"/>
          <w:bCs w:val="1"/>
          <w:rtl w:val="0"/>
          <w:lang w:val="en-US"/>
        </w:rPr>
        <w:t>—</w:t>
      </w:r>
      <w:r>
        <w:rPr>
          <w:rStyle w:val="None"/>
          <w:b w:val="1"/>
          <w:bCs w:val="1"/>
          <w:rtl w:val="0"/>
          <w:lang w:val="en-US"/>
        </w:rPr>
        <w:t xml:space="preserve">who would run? Idea: OpenLab Project site with messages.  </w:t>
      </w:r>
    </w:p>
    <w:p>
      <w:pPr>
        <w:pStyle w:val="Body"/>
        <w:ind w:left="720" w:firstLine="0"/>
        <w:rPr>
          <w:rStyle w:val="None"/>
          <w:b w:val="1"/>
          <w:bCs w:val="1"/>
        </w:rPr>
      </w:pPr>
    </w:p>
    <w:p>
      <w:pPr>
        <w:pStyle w:val="Body"/>
        <w:ind w:left="720" w:firstLine="0"/>
      </w:pPr>
      <w:r>
        <w:rPr>
          <w:rStyle w:val="None"/>
          <w:b w:val="1"/>
          <w:bCs w:val="1"/>
          <w:rtl w:val="0"/>
          <w:lang w:val="en-US"/>
        </w:rPr>
        <w:t xml:space="preserve">Good and welfare: showing project Swift and Ting talk next week </w:t>
      </w:r>
      <w:r>
        <w:rPr>
          <w:rStyle w:val="None"/>
          <w:rFonts w:ascii="Segoe UI Emoji" w:cs="Segoe UI Emoji" w:hAnsi="Segoe UI Emoji" w:eastAsia="Segoe UI Emoji"/>
          <w:b w:val="1"/>
          <w:bCs w:val="1"/>
          <w:rtl w:val="0"/>
          <w:lang w:val="en-US"/>
        </w:rPr>
        <w:t>😊</w:t>
      </w:r>
      <w:r>
        <w:rPr>
          <w:rStyle w:val="None"/>
          <w:b w:val="1"/>
          <w:bCs w:val="1"/>
          <w:rtl w:val="0"/>
          <w:lang w:val="en-US"/>
        </w:rPr>
        <w:t xml:space="preserve"> Works in the Works.  </w:t>
      </w:r>
      <w:r/>
    </w:p>
    <w:sectPr>
      <w:headerReference w:type="default" r:id="rId7"/>
      <w:footerReference w:type="default" r:id="rId8"/>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Tahoma">
    <w:charset w:val="00"/>
    <w:family w:val="roman"/>
    <w:pitch w:val="default"/>
  </w:font>
  <w:font w:name="Segoe UI">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26</w:t>
    </w:r>
    <w:r>
      <w:rPr/>
      <w:fldChar w:fldCharType="end" w:fldLock="0"/>
    </w:r>
  </w:p>
  <w:p>
    <w:pPr>
      <w:pStyle w:val="header"/>
      <w:tabs>
        <w:tab w:val="right" w:pos="8620"/>
        <w:tab w:val="clear" w:pos="8640"/>
      </w:tabs>
    </w:pPr>
    <w:r>
      <w:rPr>
        <w:sz w:val="20"/>
        <w:szCs w:val="20"/>
        <w:rtl w:val="0"/>
        <w:lang w:val="en-US"/>
      </w:rPr>
      <w:t>City Tech New Course Proposal Submission Form</w:t>
      <w:tab/>
      <w:t xml:space="preserve"> Symbolic Logic, Park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jc w:val="left"/>
    </w:pPr>
    <w:r>
      <w:rPr>
        <w:sz w:val="22"/>
        <w:szCs w:val="22"/>
        <w:rtl w:val="0"/>
        <w:lang w:val="en-US"/>
      </w:rPr>
      <w:t>18-12</w:t>
      <w:tab/>
    </w:r>
    <w:r>
      <w:rPr>
        <w:sz w:val="22"/>
        <w:szCs w:val="22"/>
      </w:rPr>
      <w:tab/>
      <w:tab/>
    </w:r>
    <w:r>
      <w:rPr>
        <w:sz w:val="22"/>
        <w:szCs w:val="22"/>
        <w:rtl w:val="0"/>
        <w:lang w:val="en-US"/>
      </w:rPr>
      <w:t xml:space="preserve">New Course PHIL 2202 Symbolic Logic </w:t>
      <w:tab/>
      <w:t xml:space="preserve">2019 </w:t>
    </w:r>
    <w:r>
      <w:rPr>
        <w:sz w:val="22"/>
        <w:szCs w:val="22"/>
        <w:rtl w:val="0"/>
        <w:lang w:val="en-US"/>
      </w:rPr>
      <w:t xml:space="preserve">– </w:t>
    </w:r>
    <w:r>
      <w:rPr>
        <w:sz w:val="22"/>
        <w:szCs w:val="22"/>
        <w:rtl w:val="0"/>
        <w:lang w:val="en-US"/>
      </w:rPr>
      <w:t xml:space="preserve">03 </w:t>
    </w:r>
    <w:r>
      <w:rPr>
        <w:sz w:val="22"/>
        <w:szCs w:val="22"/>
        <w:rtl w:val="0"/>
        <w:lang w:val="en-US"/>
      </w:rPr>
      <w:t xml:space="preserve">– </w:t>
    </w:r>
    <w:r>
      <w:rPr>
        <w:sz w:val="22"/>
        <w:szCs w:val="22"/>
        <w:rtl w:val="0"/>
        <w:lang w:val="en-US"/>
      </w:rPr>
      <w:t>27</w:t>
    </w:r>
    <w:r>
      <w:rPr>
        <w:sz w:val="22"/>
        <w:szCs w:val="22"/>
        <w:rtl w:val="0"/>
        <w:lang w:val="en-US"/>
      </w:rPr>
      <w:t xml:space="preserve"> (Rev</w:t>
    </w:r>
    <w:r>
      <w:rPr>
        <w:sz w:val="22"/>
        <w:szCs w:val="22"/>
        <w:rtl w:val="0"/>
        <w:lang w:val="en-US"/>
      </w:rPr>
      <w:t>3</w:t>
    </w:r>
    <w:r>
      <w:rPr>
        <w:sz w:val="22"/>
        <w:szCs w:val="22"/>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1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87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03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1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87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03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1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87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03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1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87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030"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numStyleLink w:val="Imported Style 8"/>
  </w:abstractNum>
  <w:abstractNum w:abstractNumId="14">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9"/>
  </w:abstractNum>
  <w:abstractNum w:abstractNumId="16">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0"/>
  </w:abstractNum>
  <w:abstractNum w:abstractNumId="18">
    <w:multiLevelType w:val="hybridMultilevel"/>
    <w:styleLink w:val="Imported Style 10"/>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9"/>
  </w:num>
  <w:num w:numId="11">
    <w:abstractNumId w:val="10"/>
  </w:num>
  <w:num w:numId="12">
    <w:abstractNumId w:val="10"/>
    <w:lvlOverride w:ilvl="0">
      <w:startOverride w:val="2"/>
    </w:lvlOverride>
  </w:num>
  <w:num w:numId="13">
    <w:abstractNumId w:val="11"/>
  </w:num>
  <w:num w:numId="14">
    <w:abstractNumId w:val="11"/>
    <w:lvlOverride w:ilvl="0">
      <w:startOverride w:val="3"/>
    </w:lvlOverride>
  </w:num>
  <w:num w:numId="15">
    <w:abstractNumId w:val="12"/>
  </w:num>
  <w:num w:numId="16">
    <w:abstractNumId w:val="12"/>
    <w:lvlOverride w:ilvl="0">
      <w:startOverride w:val="4"/>
    </w:lvlOverride>
  </w:num>
  <w:num w:numId="17">
    <w:abstractNumId w:val="14"/>
  </w:num>
  <w:num w:numId="18">
    <w:abstractNumId w:val="13"/>
  </w:num>
  <w:num w:numId="19">
    <w:abstractNumId w:val="16"/>
  </w:num>
  <w:num w:numId="20">
    <w:abstractNumId w:val="15"/>
  </w:num>
  <w:num w:numId="21">
    <w:abstractNumId w:val="18"/>
  </w:num>
  <w:num w:numId="22">
    <w:abstractNumId w:val="1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Calibri" w:cs="Calibri" w:hAnsi="Calibri" w:eastAsia="Calibri"/>
      <w:color w:val="0000ff"/>
      <w:sz w:val="22"/>
      <w:szCs w:val="22"/>
      <w:u w:val="single" w:color="0000ff"/>
      <w:lang w:val="en-US"/>
    </w:rPr>
  </w:style>
  <w:style w:type="character" w:styleId="Hyperlink.2">
    <w:name w:val="Hyperlink.2"/>
    <w:basedOn w:val="None"/>
    <w:next w:val="Hyperlink.2"/>
    <w:rPr>
      <w:rFonts w:ascii="Calibri" w:cs="Calibri" w:hAnsi="Calibri" w:eastAsia="Calibri"/>
      <w:b w:val="1"/>
      <w:bCs w:val="1"/>
      <w:sz w:val="22"/>
      <w:szCs w:val="22"/>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4">
    <w:name w:val="Imported Style 4"/>
    <w:pPr>
      <w:numPr>
        <w:numId w:val="6"/>
      </w:numPr>
    </w:pPr>
  </w:style>
  <w:style w:type="numbering" w:styleId="Imported Style 5">
    <w:name w:val="Imported Style 5"/>
    <w:pPr>
      <w:numPr>
        <w:numId w:val="8"/>
      </w:numPr>
    </w:p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8">
    <w:name w:val="Imported Style 8"/>
    <w:pPr>
      <w:numPr>
        <w:numId w:val="17"/>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fr-FR"/>
    </w:rPr>
  </w:style>
  <w:style w:type="numbering" w:styleId="Imported Style 9">
    <w:name w:val="Imported Style 9"/>
    <w:pPr>
      <w:numPr>
        <w:numId w:val="19"/>
      </w:numPr>
    </w:pPr>
  </w:style>
  <w:style w:type="numbering" w:styleId="Imported Style 10">
    <w:name w:val="Imported Style 10"/>
    <w:pPr>
      <w:numPr>
        <w:numId w:val="21"/>
      </w:numPr>
    </w:pPr>
  </w:style>
  <w:style w:type="character" w:styleId="Link">
    <w:name w:val="Link"/>
    <w:rPr>
      <w:color w:val="0000ff"/>
      <w:u w:val="single" w:color="0000ff"/>
    </w:rPr>
  </w:style>
  <w:style w:type="character" w:styleId="Hyperlink.3">
    <w:name w:val="Hyperlink.3"/>
    <w:basedOn w:val="Link"/>
    <w:next w:val="Hyperlink.3"/>
    <w:rPr>
      <w:color w:val="00000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