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FA" w:rsidRPr="009C6DFA" w:rsidRDefault="009C6DFA" w:rsidP="009C6DFA">
      <w:pPr>
        <w:pStyle w:val="Default"/>
        <w:jc w:val="center"/>
        <w:rPr>
          <w:sz w:val="28"/>
        </w:rPr>
      </w:pPr>
      <w:bookmarkStart w:id="0" w:name="_GoBack"/>
      <w:r w:rsidRPr="009C6DFA">
        <w:rPr>
          <w:b/>
          <w:bCs/>
          <w:sz w:val="28"/>
        </w:rPr>
        <w:t>PSY3405 D919 Course Syllabus</w:t>
      </w:r>
    </w:p>
    <w:p w:rsidR="009C6DFA" w:rsidRDefault="009C6DFA" w:rsidP="009C6DFA">
      <w:pPr>
        <w:pStyle w:val="Default"/>
        <w:jc w:val="center"/>
        <w:rPr>
          <w:b/>
          <w:bCs/>
          <w:sz w:val="28"/>
        </w:rPr>
      </w:pPr>
      <w:r w:rsidRPr="009C6DFA">
        <w:rPr>
          <w:b/>
          <w:bCs/>
          <w:sz w:val="28"/>
        </w:rPr>
        <w:t>“Critical” Health Psychology (Interdisciplinary Course on Race and Health)</w:t>
      </w:r>
    </w:p>
    <w:p w:rsidR="009C6DFA" w:rsidRPr="009C6DFA" w:rsidRDefault="009C6DFA" w:rsidP="009C6DFA">
      <w:pPr>
        <w:pStyle w:val="Default"/>
        <w:jc w:val="center"/>
        <w:rPr>
          <w:b/>
          <w:bCs/>
          <w:sz w:val="28"/>
        </w:rPr>
      </w:pPr>
    </w:p>
    <w:p w:rsidR="009C6DFA" w:rsidRPr="009C6DFA" w:rsidRDefault="009C6DFA" w:rsidP="009C6DFA">
      <w:pPr>
        <w:pStyle w:val="Default"/>
        <w:spacing w:line="276" w:lineRule="auto"/>
        <w:jc w:val="center"/>
        <w:rPr>
          <w:u w:val="single"/>
        </w:rPr>
      </w:pPr>
      <w:r>
        <w:rPr>
          <w:u w:val="single"/>
        </w:rPr>
        <w:t>Fall Semester 2015 Class Meeting</w:t>
      </w:r>
      <w:r w:rsidRPr="009C6DFA">
        <w:rPr>
          <w:u w:val="single"/>
        </w:rPr>
        <w:t xml:space="preserve"> Time</w:t>
      </w:r>
      <w:r>
        <w:rPr>
          <w:u w:val="single"/>
        </w:rPr>
        <w:t>s</w:t>
      </w:r>
      <w:r w:rsidRPr="009C6DFA">
        <w:rPr>
          <w:u w:val="single"/>
        </w:rPr>
        <w:t>:</w:t>
      </w:r>
    </w:p>
    <w:p w:rsidR="009C6DFA" w:rsidRPr="009C6DFA" w:rsidRDefault="009C6DFA" w:rsidP="009C6DFA">
      <w:pPr>
        <w:pStyle w:val="Default"/>
        <w:spacing w:line="276" w:lineRule="auto"/>
        <w:jc w:val="center"/>
      </w:pPr>
      <w:r>
        <w:t>Mondays and Wednesdays 2:30-3:45pm</w:t>
      </w:r>
    </w:p>
    <w:p w:rsidR="009C6DFA" w:rsidRPr="009C6DFA" w:rsidRDefault="009C6DFA" w:rsidP="009C6DFA">
      <w:pPr>
        <w:pStyle w:val="Default"/>
        <w:spacing w:line="276" w:lineRule="auto"/>
        <w:jc w:val="center"/>
        <w:rPr>
          <w:b/>
          <w:u w:val="single"/>
        </w:rPr>
      </w:pPr>
      <w:r w:rsidRPr="009C6DFA">
        <w:rPr>
          <w:b/>
          <w:u w:val="single"/>
        </w:rPr>
        <w:t>Professor:</w:t>
      </w:r>
    </w:p>
    <w:p w:rsidR="009C6DFA" w:rsidRPr="009C6DFA" w:rsidRDefault="009C6DFA" w:rsidP="009C6DFA">
      <w:pPr>
        <w:pStyle w:val="Default"/>
        <w:spacing w:line="276" w:lineRule="auto"/>
        <w:jc w:val="center"/>
      </w:pPr>
      <w:r w:rsidRPr="009C6DFA">
        <w:t>Dr. Amanda L. Almond</w:t>
      </w:r>
    </w:p>
    <w:p w:rsidR="009C6DFA" w:rsidRPr="009C6DFA" w:rsidRDefault="009C6DFA" w:rsidP="009C6DFA">
      <w:pPr>
        <w:pStyle w:val="Default"/>
        <w:spacing w:line="276" w:lineRule="auto"/>
        <w:jc w:val="center"/>
        <w:rPr>
          <w:b/>
          <w:u w:val="single"/>
        </w:rPr>
      </w:pPr>
      <w:r w:rsidRPr="009C6DFA">
        <w:rPr>
          <w:b/>
          <w:u w:val="single"/>
        </w:rPr>
        <w:t>Office Phone Number:</w:t>
      </w:r>
    </w:p>
    <w:p w:rsidR="009C6DFA" w:rsidRPr="009C6DFA" w:rsidRDefault="009C6DFA" w:rsidP="009C6DFA">
      <w:pPr>
        <w:pStyle w:val="Default"/>
        <w:spacing w:line="276" w:lineRule="auto"/>
        <w:jc w:val="center"/>
      </w:pPr>
      <w:r w:rsidRPr="009C6DFA">
        <w:t>718.260.5114</w:t>
      </w:r>
    </w:p>
    <w:p w:rsidR="009C6DFA" w:rsidRPr="009C6DFA" w:rsidRDefault="009C6DFA" w:rsidP="009C6DFA">
      <w:pPr>
        <w:pStyle w:val="Default"/>
        <w:spacing w:line="276" w:lineRule="auto"/>
        <w:jc w:val="center"/>
        <w:rPr>
          <w:b/>
          <w:u w:val="single"/>
        </w:rPr>
      </w:pPr>
      <w:r w:rsidRPr="009C6DFA">
        <w:rPr>
          <w:b/>
          <w:u w:val="single"/>
        </w:rPr>
        <w:t>*Email Address:</w:t>
      </w:r>
    </w:p>
    <w:p w:rsidR="009C6DFA" w:rsidRDefault="009C6DFA" w:rsidP="009C6DFA">
      <w:pPr>
        <w:pStyle w:val="Default"/>
        <w:spacing w:line="276" w:lineRule="auto"/>
        <w:jc w:val="center"/>
      </w:pPr>
      <w:hyperlink r:id="rId6" w:history="1">
        <w:r w:rsidRPr="00433056">
          <w:rPr>
            <w:rStyle w:val="Hyperlink"/>
          </w:rPr>
          <w:t>AAlmond@CityTech.Cuny.Edu</w:t>
        </w:r>
      </w:hyperlink>
    </w:p>
    <w:p w:rsidR="009C6DFA" w:rsidRPr="009C6DFA" w:rsidRDefault="009C6DFA" w:rsidP="009C6DFA">
      <w:pPr>
        <w:pStyle w:val="Default"/>
        <w:spacing w:line="276" w:lineRule="auto"/>
        <w:jc w:val="center"/>
        <w:rPr>
          <w:b/>
          <w:u w:val="single"/>
        </w:rPr>
      </w:pPr>
      <w:r w:rsidRPr="009C6DFA">
        <w:rPr>
          <w:b/>
          <w:u w:val="single"/>
        </w:rPr>
        <w:t>Office Hours:</w:t>
      </w:r>
    </w:p>
    <w:p w:rsidR="009C6DFA" w:rsidRDefault="009C6DFA" w:rsidP="009C6DFA">
      <w:pPr>
        <w:pStyle w:val="Default"/>
        <w:spacing w:line="276" w:lineRule="auto"/>
        <w:jc w:val="center"/>
      </w:pPr>
      <w:r>
        <w:t>Monday and Wednesdays 1-2pm</w:t>
      </w:r>
    </w:p>
    <w:p w:rsidR="009C6DFA" w:rsidRDefault="009C6DFA" w:rsidP="009C6DFA">
      <w:pPr>
        <w:pStyle w:val="Default"/>
        <w:spacing w:line="276" w:lineRule="auto"/>
        <w:jc w:val="center"/>
      </w:pPr>
      <w:r>
        <w:t>Tuesdays (By appointment) 11am-2pm</w:t>
      </w:r>
    </w:p>
    <w:p w:rsidR="009C6DFA" w:rsidRDefault="009C6DFA" w:rsidP="009C6DFA">
      <w:pPr>
        <w:pStyle w:val="Default"/>
        <w:spacing w:line="276" w:lineRule="auto"/>
        <w:jc w:val="center"/>
      </w:pPr>
      <w:r>
        <w:t>Thursdays (Walk-Ins) 11am-2pm</w:t>
      </w:r>
    </w:p>
    <w:p w:rsidR="009C6DFA" w:rsidRPr="009C6DFA" w:rsidRDefault="009C6DFA" w:rsidP="009C6DFA">
      <w:pPr>
        <w:pStyle w:val="Default"/>
        <w:spacing w:line="276" w:lineRule="auto"/>
        <w:jc w:val="center"/>
      </w:pPr>
    </w:p>
    <w:p w:rsidR="009C6DFA" w:rsidRPr="009C6DFA" w:rsidRDefault="009C6DFA" w:rsidP="009C6DFA">
      <w:pPr>
        <w:pStyle w:val="Default"/>
        <w:spacing w:line="276" w:lineRule="auto"/>
        <w:jc w:val="center"/>
        <w:rPr>
          <w:sz w:val="22"/>
        </w:rPr>
      </w:pPr>
      <w:r w:rsidRPr="009C6DFA">
        <w:rPr>
          <w:sz w:val="22"/>
        </w:rPr>
        <w:t>*Email is my preferred method of contact: it is the easiest and quickest way to get in contact with me. Please put “</w:t>
      </w:r>
      <w:r w:rsidRPr="009C6DFA">
        <w:rPr>
          <w:b/>
          <w:sz w:val="22"/>
        </w:rPr>
        <w:t>PSY3405</w:t>
      </w:r>
      <w:r w:rsidRPr="009C6DFA">
        <w:rPr>
          <w:sz w:val="22"/>
        </w:rPr>
        <w:t>” in the subject line so that the email is not placed in my junk folder on accident.</w:t>
      </w:r>
    </w:p>
    <w:p w:rsidR="009C6DFA" w:rsidRPr="009C6DFA" w:rsidRDefault="009C6DFA" w:rsidP="009C6DFA">
      <w:pPr>
        <w:pStyle w:val="Default"/>
      </w:pPr>
    </w:p>
    <w:p w:rsidR="009C6DFA" w:rsidRPr="009C6DFA" w:rsidRDefault="009C6DFA" w:rsidP="009C6DFA">
      <w:pPr>
        <w:pStyle w:val="Default"/>
        <w:rPr>
          <w:u w:val="single"/>
        </w:rPr>
      </w:pPr>
      <w:r w:rsidRPr="009C6DFA">
        <w:rPr>
          <w:u w:val="single"/>
        </w:rPr>
        <w:t xml:space="preserve">Course </w:t>
      </w:r>
      <w:r>
        <w:rPr>
          <w:u w:val="single"/>
        </w:rPr>
        <w:t xml:space="preserve">(Catalog) </w:t>
      </w:r>
      <w:r w:rsidRPr="009C6DFA">
        <w:rPr>
          <w:u w:val="single"/>
        </w:rPr>
        <w:t xml:space="preserve">Description: </w:t>
      </w:r>
    </w:p>
    <w:p w:rsidR="009C6DFA" w:rsidRPr="009C6DFA" w:rsidRDefault="009C6DFA" w:rsidP="009C6DFA">
      <w:pPr>
        <w:pStyle w:val="Default"/>
        <w:rPr>
          <w:i/>
          <w:iCs/>
        </w:rPr>
      </w:pPr>
      <w:r w:rsidRPr="009C6DFA">
        <w:t xml:space="preserve">This course will provide an overview of extant literature on theories of health psychology and behavior change within the context of critical race theory and simultaneous to developing an understanding of varied philosophies of science. Prerequisite: PSY1101; ENG1101; </w:t>
      </w:r>
      <w:r w:rsidRPr="009C6DFA">
        <w:rPr>
          <w:i/>
          <w:iCs/>
        </w:rPr>
        <w:t xml:space="preserve">CUNY proficiency in reading and writing </w:t>
      </w:r>
    </w:p>
    <w:p w:rsidR="009C6DFA" w:rsidRPr="009C6DFA" w:rsidRDefault="009C6DFA" w:rsidP="009C6DFA">
      <w:pPr>
        <w:pStyle w:val="Default"/>
        <w:rPr>
          <w:i/>
          <w:iCs/>
        </w:rPr>
      </w:pPr>
    </w:p>
    <w:p w:rsidR="009C6DFA" w:rsidRDefault="009C6DFA" w:rsidP="009C6DFA">
      <w:pPr>
        <w:pStyle w:val="Default"/>
        <w:rPr>
          <w:iCs/>
          <w:u w:val="single"/>
        </w:rPr>
      </w:pPr>
      <w:r w:rsidRPr="009C6DFA">
        <w:rPr>
          <w:iCs/>
          <w:u w:val="single"/>
        </w:rPr>
        <w:t>Course Text:</w:t>
      </w:r>
    </w:p>
    <w:p w:rsidR="009C6DFA" w:rsidRPr="009C6DFA" w:rsidRDefault="009C6DFA" w:rsidP="009C6DFA">
      <w:pPr>
        <w:pStyle w:val="Default"/>
        <w:rPr>
          <w:iCs/>
          <w:u w:val="single"/>
        </w:rPr>
      </w:pPr>
      <w:r>
        <w:rPr>
          <w:iCs/>
        </w:rPr>
        <w:t xml:space="preserve">Open Educational Resources (OER) curated on Boundless. Sign up and log in at </w:t>
      </w:r>
      <w:hyperlink r:id="rId7" w:history="1">
        <w:r w:rsidRPr="00433056">
          <w:rPr>
            <w:rStyle w:val="Hyperlink"/>
            <w:iCs/>
          </w:rPr>
          <w:t>www.boundless.com/GQFUYH9XXI26WQ</w:t>
        </w:r>
      </w:hyperlink>
      <w:r>
        <w:rPr>
          <w:iC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31"/>
      </w:tblGrid>
      <w:tr w:rsidR="009C6DFA" w:rsidRPr="009C6DFA" w:rsidTr="00A66DCA">
        <w:trPr>
          <w:trHeight w:val="101"/>
        </w:trPr>
        <w:tc>
          <w:tcPr>
            <w:tcW w:w="4631" w:type="dxa"/>
          </w:tcPr>
          <w:p w:rsidR="009C6DFA" w:rsidRPr="009C6DFA" w:rsidRDefault="009C6DFA" w:rsidP="00A66DCA">
            <w:pPr>
              <w:pStyle w:val="Default"/>
              <w:rPr>
                <w:b/>
                <w:bCs/>
                <w:sz w:val="22"/>
              </w:rPr>
            </w:pPr>
          </w:p>
          <w:p w:rsidR="009C6DFA" w:rsidRPr="009C6DFA" w:rsidRDefault="009C6DFA" w:rsidP="00A66DCA">
            <w:pPr>
              <w:pStyle w:val="Default"/>
              <w:rPr>
                <w:b/>
                <w:bCs/>
                <w:sz w:val="22"/>
              </w:rPr>
            </w:pPr>
            <w:r w:rsidRPr="009C6DFA">
              <w:rPr>
                <w:b/>
                <w:bCs/>
                <w:sz w:val="22"/>
              </w:rPr>
              <w:t xml:space="preserve"> </w:t>
            </w:r>
          </w:p>
          <w:p w:rsidR="009C6DFA" w:rsidRPr="009C6DFA" w:rsidRDefault="009C6DFA" w:rsidP="00A66DCA">
            <w:pPr>
              <w:pStyle w:val="Default"/>
              <w:rPr>
                <w:sz w:val="22"/>
              </w:rPr>
            </w:pPr>
            <w:r w:rsidRPr="009C6DFA">
              <w:rPr>
                <w:b/>
                <w:bCs/>
                <w:sz w:val="22"/>
              </w:rPr>
              <w:t xml:space="preserve">Learning Outcomes </w:t>
            </w:r>
          </w:p>
        </w:tc>
        <w:tc>
          <w:tcPr>
            <w:tcW w:w="4631" w:type="dxa"/>
          </w:tcPr>
          <w:p w:rsidR="009C6DFA" w:rsidRPr="009C6DFA" w:rsidRDefault="009C6DFA" w:rsidP="00A66DCA">
            <w:pPr>
              <w:pStyle w:val="Default"/>
              <w:rPr>
                <w:b/>
                <w:bCs/>
                <w:sz w:val="22"/>
              </w:rPr>
            </w:pPr>
          </w:p>
          <w:p w:rsidR="009C6DFA" w:rsidRPr="009C6DFA" w:rsidRDefault="009C6DFA" w:rsidP="00A66DCA">
            <w:pPr>
              <w:pStyle w:val="Default"/>
              <w:rPr>
                <w:b/>
                <w:bCs/>
                <w:sz w:val="22"/>
              </w:rPr>
            </w:pPr>
          </w:p>
          <w:p w:rsidR="009C6DFA" w:rsidRPr="009C6DFA" w:rsidRDefault="009C6DFA" w:rsidP="00A66DCA">
            <w:pPr>
              <w:pStyle w:val="Default"/>
              <w:rPr>
                <w:sz w:val="22"/>
              </w:rPr>
            </w:pPr>
            <w:r w:rsidRPr="009C6DFA">
              <w:rPr>
                <w:b/>
                <w:bCs/>
                <w:sz w:val="22"/>
              </w:rPr>
              <w:t xml:space="preserve">Assessment Method </w:t>
            </w:r>
          </w:p>
        </w:tc>
      </w:tr>
      <w:tr w:rsidR="009C6DFA" w:rsidRPr="009C6DFA" w:rsidTr="00A66DCA">
        <w:trPr>
          <w:trHeight w:val="223"/>
        </w:trPr>
        <w:tc>
          <w:tcPr>
            <w:tcW w:w="4631" w:type="dxa"/>
          </w:tcPr>
          <w:p w:rsidR="009C6DFA" w:rsidRPr="009C6DFA" w:rsidRDefault="009C6DFA" w:rsidP="009C6DFA">
            <w:pPr>
              <w:pStyle w:val="Default"/>
              <w:numPr>
                <w:ilvl w:val="0"/>
                <w:numId w:val="1"/>
              </w:numPr>
              <w:rPr>
                <w:sz w:val="22"/>
              </w:rPr>
            </w:pPr>
            <w:r w:rsidRPr="009C6DFA">
              <w:rPr>
                <w:sz w:val="22"/>
              </w:rPr>
              <w:t xml:space="preserve">Demonstrate an understanding of health psychology and behavior change theories. </w:t>
            </w:r>
          </w:p>
        </w:tc>
        <w:tc>
          <w:tcPr>
            <w:tcW w:w="4631" w:type="dxa"/>
          </w:tcPr>
          <w:p w:rsidR="009C6DFA" w:rsidRDefault="009C6DFA" w:rsidP="00A66DCA">
            <w:pPr>
              <w:pStyle w:val="Default"/>
              <w:rPr>
                <w:sz w:val="22"/>
              </w:rPr>
            </w:pPr>
            <w:r w:rsidRPr="009C6DFA">
              <w:rPr>
                <w:sz w:val="22"/>
              </w:rPr>
              <w:t xml:space="preserve">Readings, Quizzes , and </w:t>
            </w:r>
            <w:proofErr w:type="spellStart"/>
            <w:r w:rsidRPr="009C6DFA">
              <w:rPr>
                <w:sz w:val="22"/>
              </w:rPr>
              <w:t>ProChange</w:t>
            </w:r>
            <w:proofErr w:type="spellEnd"/>
            <w:r w:rsidRPr="009C6DFA">
              <w:rPr>
                <w:sz w:val="22"/>
              </w:rPr>
              <w:t xml:space="preserve"> </w:t>
            </w:r>
            <w:proofErr w:type="spellStart"/>
            <w:r w:rsidRPr="009C6DFA">
              <w:rPr>
                <w:sz w:val="22"/>
              </w:rPr>
              <w:t>Livewell</w:t>
            </w:r>
            <w:proofErr w:type="spellEnd"/>
            <w:r w:rsidRPr="009C6DFA">
              <w:rPr>
                <w:sz w:val="22"/>
              </w:rPr>
              <w:t xml:space="preserve"> Program for College Students</w:t>
            </w:r>
          </w:p>
          <w:p w:rsidR="009C6DFA" w:rsidRPr="009C6DFA" w:rsidRDefault="009C6DFA" w:rsidP="00A66DCA">
            <w:pPr>
              <w:pStyle w:val="Default"/>
              <w:rPr>
                <w:sz w:val="22"/>
              </w:rPr>
            </w:pPr>
          </w:p>
        </w:tc>
      </w:tr>
      <w:tr w:rsidR="009C6DFA" w:rsidRPr="009C6DFA" w:rsidTr="00A66DCA">
        <w:trPr>
          <w:trHeight w:val="348"/>
        </w:trPr>
        <w:tc>
          <w:tcPr>
            <w:tcW w:w="4631" w:type="dxa"/>
          </w:tcPr>
          <w:p w:rsidR="009C6DFA" w:rsidRPr="009C6DFA" w:rsidRDefault="009C6DFA" w:rsidP="009C6DFA">
            <w:pPr>
              <w:pStyle w:val="Default"/>
              <w:numPr>
                <w:ilvl w:val="0"/>
                <w:numId w:val="1"/>
              </w:numPr>
              <w:rPr>
                <w:sz w:val="22"/>
              </w:rPr>
            </w:pPr>
            <w:r w:rsidRPr="009C6DFA">
              <w:rPr>
                <w:sz w:val="22"/>
              </w:rPr>
              <w:t xml:space="preserve">Demonstrate an understanding of the different research methods that psychologists use to study race and health behaviors. </w:t>
            </w:r>
          </w:p>
        </w:tc>
        <w:tc>
          <w:tcPr>
            <w:tcW w:w="4631" w:type="dxa"/>
          </w:tcPr>
          <w:p w:rsidR="009C6DFA" w:rsidRDefault="009C6DFA" w:rsidP="00A66DCA">
            <w:pPr>
              <w:pStyle w:val="Default"/>
              <w:rPr>
                <w:sz w:val="22"/>
              </w:rPr>
            </w:pPr>
            <w:r w:rsidRPr="009C6DFA">
              <w:rPr>
                <w:sz w:val="22"/>
              </w:rPr>
              <w:t xml:space="preserve">Article Critique (Individual and Group); Online Tuskegee Assignment </w:t>
            </w:r>
          </w:p>
          <w:p w:rsidR="009C6DFA" w:rsidRDefault="009C6DFA" w:rsidP="00A66DCA">
            <w:pPr>
              <w:pStyle w:val="Default"/>
              <w:rPr>
                <w:sz w:val="22"/>
              </w:rPr>
            </w:pPr>
          </w:p>
          <w:p w:rsidR="009C6DFA" w:rsidRDefault="009C6DFA" w:rsidP="00A66DCA">
            <w:pPr>
              <w:pStyle w:val="Default"/>
              <w:rPr>
                <w:sz w:val="22"/>
              </w:rPr>
            </w:pPr>
          </w:p>
          <w:p w:rsidR="009C6DFA" w:rsidRPr="009C6DFA" w:rsidRDefault="009C6DFA" w:rsidP="00A66DCA">
            <w:pPr>
              <w:pStyle w:val="Default"/>
              <w:rPr>
                <w:sz w:val="22"/>
              </w:rPr>
            </w:pPr>
          </w:p>
        </w:tc>
      </w:tr>
      <w:tr w:rsidR="009C6DFA" w:rsidRPr="009C6DFA" w:rsidTr="00A66DCA">
        <w:trPr>
          <w:trHeight w:val="348"/>
        </w:trPr>
        <w:tc>
          <w:tcPr>
            <w:tcW w:w="4631" w:type="dxa"/>
          </w:tcPr>
          <w:p w:rsidR="009C6DFA" w:rsidRPr="009C6DFA" w:rsidRDefault="009C6DFA" w:rsidP="009C6DFA">
            <w:pPr>
              <w:pStyle w:val="Default"/>
              <w:numPr>
                <w:ilvl w:val="0"/>
                <w:numId w:val="1"/>
              </w:numPr>
              <w:rPr>
                <w:sz w:val="22"/>
              </w:rPr>
            </w:pPr>
            <w:r w:rsidRPr="009C6DFA">
              <w:rPr>
                <w:sz w:val="22"/>
              </w:rPr>
              <w:t xml:space="preserve">Demonstrate an understanding of different disease processes and related behaviors. </w:t>
            </w:r>
          </w:p>
        </w:tc>
        <w:tc>
          <w:tcPr>
            <w:tcW w:w="4631" w:type="dxa"/>
          </w:tcPr>
          <w:p w:rsidR="009C6DFA" w:rsidRDefault="009C6DFA" w:rsidP="00A66DCA">
            <w:pPr>
              <w:pStyle w:val="Default"/>
              <w:rPr>
                <w:sz w:val="22"/>
              </w:rPr>
            </w:pPr>
            <w:r w:rsidRPr="009C6DFA">
              <w:rPr>
                <w:sz w:val="22"/>
              </w:rPr>
              <w:t xml:space="preserve">Lectures, Guest Lecturers, I’m Positive Paper, Quizzes </w:t>
            </w:r>
          </w:p>
          <w:p w:rsidR="009C6DFA" w:rsidRPr="009C6DFA" w:rsidRDefault="009C6DFA" w:rsidP="00A66DCA">
            <w:pPr>
              <w:pStyle w:val="Default"/>
              <w:rPr>
                <w:sz w:val="22"/>
              </w:rPr>
            </w:pPr>
          </w:p>
        </w:tc>
      </w:tr>
      <w:tr w:rsidR="009C6DFA" w:rsidRPr="009C6DFA" w:rsidTr="00A66DCA">
        <w:trPr>
          <w:trHeight w:val="226"/>
        </w:trPr>
        <w:tc>
          <w:tcPr>
            <w:tcW w:w="4631" w:type="dxa"/>
          </w:tcPr>
          <w:p w:rsidR="009C6DFA" w:rsidRPr="009C6DFA" w:rsidRDefault="009C6DFA" w:rsidP="009C6DFA">
            <w:pPr>
              <w:pStyle w:val="Default"/>
              <w:numPr>
                <w:ilvl w:val="0"/>
                <w:numId w:val="1"/>
              </w:numPr>
              <w:rPr>
                <w:sz w:val="22"/>
              </w:rPr>
            </w:pPr>
            <w:r w:rsidRPr="009C6DFA">
              <w:rPr>
                <w:sz w:val="22"/>
              </w:rPr>
              <w:t xml:space="preserve">Demonstrate an ability to apply health psychology concepts to real world situations and understand the role of a critical health psychologist. </w:t>
            </w:r>
          </w:p>
          <w:p w:rsidR="009C6DFA" w:rsidRPr="009C6DFA" w:rsidRDefault="009C6DFA" w:rsidP="00A66DCA">
            <w:pPr>
              <w:pStyle w:val="Default"/>
              <w:rPr>
                <w:sz w:val="22"/>
              </w:rPr>
            </w:pPr>
          </w:p>
        </w:tc>
        <w:tc>
          <w:tcPr>
            <w:tcW w:w="4631" w:type="dxa"/>
          </w:tcPr>
          <w:p w:rsidR="009C6DFA" w:rsidRPr="009C6DFA" w:rsidRDefault="009C6DFA" w:rsidP="00A66DCA">
            <w:pPr>
              <w:pStyle w:val="Default"/>
              <w:rPr>
                <w:sz w:val="22"/>
              </w:rPr>
            </w:pPr>
            <w:r w:rsidRPr="009C6DFA">
              <w:rPr>
                <w:sz w:val="22"/>
              </w:rPr>
              <w:t>Critical Race Paper, Pre-viewing and Post-viewing Film Activities</w:t>
            </w:r>
          </w:p>
        </w:tc>
      </w:tr>
      <w:tr w:rsidR="009C6DFA" w:rsidRPr="009C6DFA" w:rsidTr="00A66DCA">
        <w:trPr>
          <w:trHeight w:val="226"/>
        </w:trPr>
        <w:tc>
          <w:tcPr>
            <w:tcW w:w="4631" w:type="dxa"/>
            <w:tcBorders>
              <w:left w:val="nil"/>
            </w:tcBorders>
          </w:tcPr>
          <w:p w:rsidR="009C6DFA" w:rsidRPr="009D4C1A" w:rsidRDefault="009C6DFA" w:rsidP="00A66DCA">
            <w:pPr>
              <w:pStyle w:val="Default"/>
              <w:rPr>
                <w:b/>
                <w:sz w:val="22"/>
              </w:rPr>
            </w:pPr>
            <w:r w:rsidRPr="009D4C1A">
              <w:rPr>
                <w:b/>
                <w:sz w:val="22"/>
              </w:rPr>
              <w:lastRenderedPageBreak/>
              <w:t>Interdisciplinary Course-specific Learning Outcomes</w:t>
            </w:r>
          </w:p>
        </w:tc>
        <w:tc>
          <w:tcPr>
            <w:tcW w:w="4631" w:type="dxa"/>
            <w:tcBorders>
              <w:right w:val="nil"/>
            </w:tcBorders>
          </w:tcPr>
          <w:p w:rsidR="009C6DFA" w:rsidRPr="009D4C1A" w:rsidRDefault="009C6DFA" w:rsidP="00A66DCA">
            <w:pPr>
              <w:pStyle w:val="Default"/>
              <w:rPr>
                <w:b/>
                <w:sz w:val="22"/>
              </w:rPr>
            </w:pPr>
            <w:r w:rsidRPr="009D4C1A">
              <w:rPr>
                <w:b/>
                <w:sz w:val="22"/>
              </w:rPr>
              <w:t xml:space="preserve">Assessment Method </w:t>
            </w:r>
          </w:p>
          <w:p w:rsidR="009C6DFA" w:rsidRPr="009D4C1A" w:rsidRDefault="009C6DFA" w:rsidP="00A66DCA">
            <w:pPr>
              <w:pStyle w:val="Default"/>
              <w:rPr>
                <w:b/>
                <w:sz w:val="22"/>
              </w:rPr>
            </w:pPr>
          </w:p>
        </w:tc>
      </w:tr>
      <w:tr w:rsidR="009C6DFA" w:rsidRPr="009C6DFA" w:rsidTr="00A66DCA">
        <w:trPr>
          <w:trHeight w:val="226"/>
        </w:trPr>
        <w:tc>
          <w:tcPr>
            <w:tcW w:w="4631" w:type="dxa"/>
            <w:tcBorders>
              <w:left w:val="nil"/>
            </w:tcBorders>
          </w:tcPr>
          <w:p w:rsidR="009C6DFA" w:rsidRPr="009D4C1A" w:rsidRDefault="009C6DFA" w:rsidP="009C6DFA">
            <w:pPr>
              <w:pStyle w:val="Default"/>
              <w:numPr>
                <w:ilvl w:val="0"/>
                <w:numId w:val="2"/>
              </w:numPr>
              <w:rPr>
                <w:sz w:val="22"/>
              </w:rPr>
            </w:pPr>
            <w:r w:rsidRPr="009D4C1A">
              <w:rPr>
                <w:sz w:val="22"/>
              </w:rPr>
              <w:t xml:space="preserve">Purposefully connect and integrate across-discipline knowledge and skills to solve problems. </w:t>
            </w:r>
          </w:p>
        </w:tc>
        <w:tc>
          <w:tcPr>
            <w:tcW w:w="4631" w:type="dxa"/>
            <w:tcBorders>
              <w:right w:val="nil"/>
            </w:tcBorders>
          </w:tcPr>
          <w:p w:rsidR="009C6DFA" w:rsidRPr="009D4C1A" w:rsidRDefault="009D4C1A" w:rsidP="009D4C1A">
            <w:pPr>
              <w:pStyle w:val="Default"/>
              <w:rPr>
                <w:sz w:val="22"/>
              </w:rPr>
            </w:pPr>
            <w:r w:rsidRPr="009D4C1A">
              <w:rPr>
                <w:sz w:val="22"/>
              </w:rPr>
              <w:t>Readings</w:t>
            </w:r>
            <w:r w:rsidR="009C6DFA" w:rsidRPr="009D4C1A">
              <w:rPr>
                <w:sz w:val="22"/>
              </w:rPr>
              <w:t>,</w:t>
            </w:r>
            <w:r w:rsidRPr="009D4C1A">
              <w:rPr>
                <w:sz w:val="22"/>
              </w:rPr>
              <w:t xml:space="preserve"> Quizzes, </w:t>
            </w:r>
            <w:r w:rsidR="009C6DFA" w:rsidRPr="009D4C1A">
              <w:rPr>
                <w:sz w:val="22"/>
              </w:rPr>
              <w:t xml:space="preserve"> In-class </w:t>
            </w:r>
            <w:r w:rsidRPr="009D4C1A">
              <w:rPr>
                <w:sz w:val="22"/>
              </w:rPr>
              <w:t xml:space="preserve">and Online discussions/activities, </w:t>
            </w:r>
            <w:proofErr w:type="spellStart"/>
            <w:r w:rsidRPr="009D4C1A">
              <w:rPr>
                <w:sz w:val="22"/>
              </w:rPr>
              <w:t>Prochange</w:t>
            </w:r>
            <w:proofErr w:type="spellEnd"/>
            <w:r w:rsidRPr="009D4C1A">
              <w:rPr>
                <w:sz w:val="22"/>
              </w:rPr>
              <w:t xml:space="preserve"> </w:t>
            </w:r>
            <w:proofErr w:type="spellStart"/>
            <w:r w:rsidRPr="009D4C1A">
              <w:rPr>
                <w:sz w:val="22"/>
              </w:rPr>
              <w:t>Livewell</w:t>
            </w:r>
            <w:proofErr w:type="spellEnd"/>
            <w:r w:rsidRPr="009D4C1A">
              <w:rPr>
                <w:sz w:val="22"/>
              </w:rPr>
              <w:t xml:space="preserve"> Behavior Program for College Students, Group Work, Papers</w:t>
            </w:r>
            <w:r w:rsidR="009C6DFA" w:rsidRPr="009D4C1A">
              <w:rPr>
                <w:sz w:val="22"/>
              </w:rPr>
              <w:t xml:space="preserve"> </w:t>
            </w:r>
          </w:p>
          <w:p w:rsidR="009D4C1A" w:rsidRPr="009D4C1A" w:rsidRDefault="009D4C1A" w:rsidP="009D4C1A">
            <w:pPr>
              <w:pStyle w:val="Default"/>
              <w:rPr>
                <w:sz w:val="22"/>
              </w:rPr>
            </w:pPr>
          </w:p>
        </w:tc>
      </w:tr>
      <w:tr w:rsidR="009C6DFA" w:rsidRPr="009C6DFA" w:rsidTr="00A66DCA">
        <w:trPr>
          <w:trHeight w:val="226"/>
        </w:trPr>
        <w:tc>
          <w:tcPr>
            <w:tcW w:w="4631" w:type="dxa"/>
            <w:tcBorders>
              <w:left w:val="nil"/>
            </w:tcBorders>
          </w:tcPr>
          <w:p w:rsidR="009C6DFA" w:rsidRPr="009D4C1A" w:rsidRDefault="009C6DFA" w:rsidP="009C6DFA">
            <w:pPr>
              <w:pStyle w:val="Default"/>
              <w:numPr>
                <w:ilvl w:val="0"/>
                <w:numId w:val="2"/>
              </w:numPr>
              <w:rPr>
                <w:sz w:val="22"/>
              </w:rPr>
            </w:pPr>
            <w:r w:rsidRPr="009D4C1A">
              <w:rPr>
                <w:sz w:val="22"/>
              </w:rPr>
              <w:t xml:space="preserve">Synthesize and transfer knowledge across disciplinary boundaries </w:t>
            </w:r>
          </w:p>
        </w:tc>
        <w:tc>
          <w:tcPr>
            <w:tcW w:w="4631" w:type="dxa"/>
            <w:tcBorders>
              <w:right w:val="nil"/>
            </w:tcBorders>
          </w:tcPr>
          <w:p w:rsidR="009C6DFA" w:rsidRPr="009D4C1A" w:rsidRDefault="009D4C1A" w:rsidP="00A66DCA">
            <w:pPr>
              <w:pStyle w:val="Default"/>
              <w:rPr>
                <w:sz w:val="22"/>
              </w:rPr>
            </w:pPr>
            <w:r w:rsidRPr="009D4C1A">
              <w:rPr>
                <w:sz w:val="22"/>
              </w:rPr>
              <w:t xml:space="preserve">Readings, Quizzes,  In-class and Online discussions/activities, </w:t>
            </w:r>
            <w:proofErr w:type="spellStart"/>
            <w:r w:rsidRPr="009D4C1A">
              <w:rPr>
                <w:sz w:val="22"/>
              </w:rPr>
              <w:t>Prochange</w:t>
            </w:r>
            <w:proofErr w:type="spellEnd"/>
            <w:r w:rsidRPr="009D4C1A">
              <w:rPr>
                <w:sz w:val="22"/>
              </w:rPr>
              <w:t xml:space="preserve"> </w:t>
            </w:r>
            <w:proofErr w:type="spellStart"/>
            <w:r w:rsidRPr="009D4C1A">
              <w:rPr>
                <w:sz w:val="22"/>
              </w:rPr>
              <w:t>Livewell</w:t>
            </w:r>
            <w:proofErr w:type="spellEnd"/>
            <w:r w:rsidRPr="009D4C1A">
              <w:rPr>
                <w:sz w:val="22"/>
              </w:rPr>
              <w:t xml:space="preserve"> Behavior Program for College Students, Group Work, Papers</w:t>
            </w:r>
          </w:p>
          <w:p w:rsidR="009D4C1A" w:rsidRPr="009D4C1A" w:rsidRDefault="009D4C1A" w:rsidP="00A66DCA">
            <w:pPr>
              <w:pStyle w:val="Default"/>
              <w:rPr>
                <w:sz w:val="22"/>
              </w:rPr>
            </w:pPr>
          </w:p>
        </w:tc>
      </w:tr>
      <w:tr w:rsidR="009C6DFA" w:rsidRPr="009C6DFA" w:rsidTr="00A66DCA">
        <w:trPr>
          <w:trHeight w:val="226"/>
        </w:trPr>
        <w:tc>
          <w:tcPr>
            <w:tcW w:w="4631" w:type="dxa"/>
            <w:tcBorders>
              <w:left w:val="nil"/>
            </w:tcBorders>
          </w:tcPr>
          <w:p w:rsidR="009C6DFA" w:rsidRPr="009D4C1A" w:rsidRDefault="009C6DFA" w:rsidP="009C6DFA">
            <w:pPr>
              <w:pStyle w:val="Default"/>
              <w:numPr>
                <w:ilvl w:val="0"/>
                <w:numId w:val="2"/>
              </w:numPr>
              <w:rPr>
                <w:sz w:val="22"/>
              </w:rPr>
            </w:pPr>
            <w:r w:rsidRPr="009D4C1A">
              <w:rPr>
                <w:sz w:val="22"/>
              </w:rPr>
              <w:t xml:space="preserve">Comprehend factors inherent in complex problems and recognize varied perspectives </w:t>
            </w:r>
          </w:p>
        </w:tc>
        <w:tc>
          <w:tcPr>
            <w:tcW w:w="4631" w:type="dxa"/>
            <w:tcBorders>
              <w:right w:val="nil"/>
            </w:tcBorders>
          </w:tcPr>
          <w:p w:rsidR="009C6DFA" w:rsidRPr="009D4C1A" w:rsidRDefault="009D4C1A" w:rsidP="00A66DCA">
            <w:pPr>
              <w:pStyle w:val="Default"/>
              <w:rPr>
                <w:sz w:val="22"/>
              </w:rPr>
            </w:pPr>
            <w:r w:rsidRPr="009D4C1A">
              <w:rPr>
                <w:sz w:val="22"/>
              </w:rPr>
              <w:t xml:space="preserve">Readings, Quizzes,  In-class and Online discussions/activities, </w:t>
            </w:r>
            <w:proofErr w:type="spellStart"/>
            <w:r w:rsidRPr="009D4C1A">
              <w:rPr>
                <w:sz w:val="22"/>
              </w:rPr>
              <w:t>Prochange</w:t>
            </w:r>
            <w:proofErr w:type="spellEnd"/>
            <w:r w:rsidRPr="009D4C1A">
              <w:rPr>
                <w:sz w:val="22"/>
              </w:rPr>
              <w:t xml:space="preserve"> </w:t>
            </w:r>
            <w:proofErr w:type="spellStart"/>
            <w:r w:rsidRPr="009D4C1A">
              <w:rPr>
                <w:sz w:val="22"/>
              </w:rPr>
              <w:t>Livewell</w:t>
            </w:r>
            <w:proofErr w:type="spellEnd"/>
            <w:r w:rsidRPr="009D4C1A">
              <w:rPr>
                <w:sz w:val="22"/>
              </w:rPr>
              <w:t xml:space="preserve"> Behavior Program for College Students, Group Work, Papers</w:t>
            </w:r>
          </w:p>
          <w:p w:rsidR="009D4C1A" w:rsidRPr="009D4C1A" w:rsidRDefault="009D4C1A" w:rsidP="00A66DCA">
            <w:pPr>
              <w:pStyle w:val="Default"/>
              <w:rPr>
                <w:sz w:val="22"/>
              </w:rPr>
            </w:pPr>
          </w:p>
        </w:tc>
      </w:tr>
      <w:tr w:rsidR="009C6DFA" w:rsidRPr="009C6DFA" w:rsidTr="00A66DCA">
        <w:trPr>
          <w:trHeight w:val="226"/>
        </w:trPr>
        <w:tc>
          <w:tcPr>
            <w:tcW w:w="4631" w:type="dxa"/>
            <w:tcBorders>
              <w:left w:val="nil"/>
              <w:bottom w:val="nil"/>
            </w:tcBorders>
          </w:tcPr>
          <w:p w:rsidR="009C6DFA" w:rsidRPr="009D4C1A" w:rsidRDefault="009C6DFA" w:rsidP="009C6DFA">
            <w:pPr>
              <w:pStyle w:val="Default"/>
              <w:numPr>
                <w:ilvl w:val="0"/>
                <w:numId w:val="2"/>
              </w:numPr>
              <w:rPr>
                <w:sz w:val="22"/>
              </w:rPr>
            </w:pPr>
            <w:r w:rsidRPr="009D4C1A">
              <w:rPr>
                <w:sz w:val="22"/>
              </w:rPr>
              <w:t xml:space="preserve">Gain comfort with complexity and uncertainty and identify the work of neighboring experts in various fields via guest talks.   </w:t>
            </w:r>
          </w:p>
          <w:p w:rsidR="009C6DFA" w:rsidRPr="009D4C1A" w:rsidRDefault="009C6DFA" w:rsidP="00A66DCA">
            <w:pPr>
              <w:pStyle w:val="Default"/>
              <w:rPr>
                <w:sz w:val="22"/>
              </w:rPr>
            </w:pPr>
          </w:p>
        </w:tc>
        <w:tc>
          <w:tcPr>
            <w:tcW w:w="4631" w:type="dxa"/>
            <w:tcBorders>
              <w:bottom w:val="nil"/>
              <w:right w:val="nil"/>
            </w:tcBorders>
          </w:tcPr>
          <w:p w:rsidR="009C6DFA" w:rsidRPr="009D4C1A" w:rsidRDefault="009D4C1A" w:rsidP="00A66DCA">
            <w:pPr>
              <w:pStyle w:val="Default"/>
              <w:rPr>
                <w:sz w:val="22"/>
              </w:rPr>
            </w:pPr>
            <w:r w:rsidRPr="009D4C1A">
              <w:rPr>
                <w:sz w:val="22"/>
              </w:rPr>
              <w:t xml:space="preserve">Readings, Quizzes,  In-class and Online discussions/activities, </w:t>
            </w:r>
            <w:proofErr w:type="spellStart"/>
            <w:r w:rsidRPr="009D4C1A">
              <w:rPr>
                <w:sz w:val="22"/>
              </w:rPr>
              <w:t>Prochange</w:t>
            </w:r>
            <w:proofErr w:type="spellEnd"/>
            <w:r w:rsidRPr="009D4C1A">
              <w:rPr>
                <w:sz w:val="22"/>
              </w:rPr>
              <w:t xml:space="preserve"> </w:t>
            </w:r>
            <w:proofErr w:type="spellStart"/>
            <w:r w:rsidRPr="009D4C1A">
              <w:rPr>
                <w:sz w:val="22"/>
              </w:rPr>
              <w:t>Livewell</w:t>
            </w:r>
            <w:proofErr w:type="spellEnd"/>
            <w:r w:rsidRPr="009D4C1A">
              <w:rPr>
                <w:sz w:val="22"/>
              </w:rPr>
              <w:t xml:space="preserve"> Behavior Program for College Students, Group Work, Papers</w:t>
            </w:r>
          </w:p>
        </w:tc>
      </w:tr>
    </w:tbl>
    <w:p w:rsidR="009D4C1A" w:rsidRDefault="009D4C1A" w:rsidP="009C6DFA">
      <w:pPr>
        <w:rPr>
          <w:rFonts w:ascii="Garamond" w:hAnsi="Garamond"/>
          <w:sz w:val="24"/>
          <w:szCs w:val="24"/>
          <w:u w:val="single"/>
        </w:rPr>
      </w:pPr>
      <w:r>
        <w:rPr>
          <w:rFonts w:ascii="Garamond" w:hAnsi="Garamond"/>
          <w:sz w:val="24"/>
          <w:szCs w:val="24"/>
          <w:u w:val="single"/>
        </w:rPr>
        <w:t>Course Technology Requirements</w:t>
      </w:r>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A working City Tech email account—resolve this matter ASAP please</w:t>
      </w:r>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Activated library barcode on your City Tech ID— resolve this matter ASAP please</w:t>
      </w:r>
    </w:p>
    <w:p w:rsidR="009D4C1A" w:rsidRPr="009D4C1A" w:rsidRDefault="009D4C1A" w:rsidP="009D4C1A">
      <w:pPr>
        <w:pStyle w:val="ListParagraph"/>
        <w:numPr>
          <w:ilvl w:val="0"/>
          <w:numId w:val="3"/>
        </w:numPr>
        <w:rPr>
          <w:rFonts w:ascii="Garamond" w:hAnsi="Garamond"/>
          <w:sz w:val="24"/>
          <w:szCs w:val="24"/>
        </w:rPr>
      </w:pPr>
      <w:hyperlink r:id="rId8" w:history="1">
        <w:r w:rsidRPr="009D4C1A">
          <w:rPr>
            <w:rStyle w:val="Hyperlink"/>
            <w:rFonts w:ascii="Garamond" w:hAnsi="Garamond"/>
            <w:sz w:val="24"/>
            <w:szCs w:val="24"/>
          </w:rPr>
          <w:t>CLICK HERE for help with the first two requirements</w:t>
        </w:r>
      </w:hyperlink>
    </w:p>
    <w:p w:rsidR="009D4C1A" w:rsidRPr="009D4C1A" w:rsidRDefault="009D4C1A" w:rsidP="009D4C1A">
      <w:pPr>
        <w:pStyle w:val="ListParagraph"/>
        <w:numPr>
          <w:ilvl w:val="0"/>
          <w:numId w:val="3"/>
        </w:numPr>
        <w:rPr>
          <w:rFonts w:ascii="Garamond" w:hAnsi="Garamond"/>
          <w:sz w:val="24"/>
          <w:szCs w:val="24"/>
        </w:rPr>
      </w:pPr>
      <w:proofErr w:type="spellStart"/>
      <w:r w:rsidRPr="009D4C1A">
        <w:rPr>
          <w:rFonts w:ascii="Garamond" w:hAnsi="Garamond"/>
          <w:sz w:val="24"/>
          <w:szCs w:val="24"/>
        </w:rPr>
        <w:t>OpenLab</w:t>
      </w:r>
      <w:proofErr w:type="spellEnd"/>
      <w:r w:rsidRPr="009D4C1A">
        <w:rPr>
          <w:rFonts w:ascii="Garamond" w:hAnsi="Garamond"/>
          <w:sz w:val="24"/>
          <w:szCs w:val="24"/>
        </w:rPr>
        <w:t xml:space="preserve"> Account</w:t>
      </w:r>
    </w:p>
    <w:p w:rsidR="009D4C1A" w:rsidRPr="009D4C1A" w:rsidRDefault="009D4C1A" w:rsidP="009D4C1A">
      <w:pPr>
        <w:pStyle w:val="ListParagraph"/>
        <w:numPr>
          <w:ilvl w:val="0"/>
          <w:numId w:val="3"/>
        </w:numPr>
        <w:rPr>
          <w:rFonts w:ascii="Garamond" w:hAnsi="Garamond"/>
          <w:sz w:val="24"/>
          <w:szCs w:val="24"/>
        </w:rPr>
      </w:pPr>
      <w:hyperlink r:id="rId9" w:history="1">
        <w:r w:rsidRPr="009D4C1A">
          <w:rPr>
            <w:rStyle w:val="Hyperlink"/>
            <w:rFonts w:ascii="Garamond" w:hAnsi="Garamond"/>
            <w:sz w:val="24"/>
            <w:szCs w:val="24"/>
          </w:rPr>
          <w:t>Boundless Account</w:t>
        </w:r>
      </w:hyperlink>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 xml:space="preserve">Blackboard (for paper submission via </w:t>
      </w:r>
      <w:proofErr w:type="spellStart"/>
      <w:r w:rsidRPr="009D4C1A">
        <w:rPr>
          <w:rFonts w:ascii="Garamond" w:hAnsi="Garamond"/>
          <w:sz w:val="24"/>
          <w:szCs w:val="24"/>
        </w:rPr>
        <w:t>SafeAssign</w:t>
      </w:r>
      <w:proofErr w:type="spellEnd"/>
      <w:r w:rsidRPr="009D4C1A">
        <w:rPr>
          <w:rFonts w:ascii="Garamond" w:hAnsi="Garamond"/>
          <w:sz w:val="24"/>
          <w:szCs w:val="24"/>
        </w:rPr>
        <w:t>)</w:t>
      </w:r>
    </w:p>
    <w:p w:rsidR="009D4C1A" w:rsidRPr="009D4C1A" w:rsidRDefault="009D4C1A" w:rsidP="009D4C1A">
      <w:pPr>
        <w:pStyle w:val="ListParagraph"/>
        <w:numPr>
          <w:ilvl w:val="0"/>
          <w:numId w:val="3"/>
        </w:numPr>
        <w:rPr>
          <w:rFonts w:ascii="Garamond" w:hAnsi="Garamond"/>
          <w:sz w:val="24"/>
          <w:szCs w:val="24"/>
        </w:rPr>
      </w:pPr>
      <w:proofErr w:type="spellStart"/>
      <w:r w:rsidRPr="009D4C1A">
        <w:rPr>
          <w:rFonts w:ascii="Garamond" w:hAnsi="Garamond"/>
          <w:sz w:val="24"/>
          <w:szCs w:val="24"/>
        </w:rPr>
        <w:t>ProChange</w:t>
      </w:r>
      <w:proofErr w:type="spellEnd"/>
      <w:r w:rsidRPr="009D4C1A">
        <w:rPr>
          <w:rFonts w:ascii="Garamond" w:hAnsi="Garamond"/>
          <w:sz w:val="24"/>
          <w:szCs w:val="24"/>
        </w:rPr>
        <w:t xml:space="preserve"> </w:t>
      </w:r>
      <w:proofErr w:type="spellStart"/>
      <w:r w:rsidRPr="009D4C1A">
        <w:rPr>
          <w:rFonts w:ascii="Garamond" w:hAnsi="Garamond"/>
          <w:sz w:val="24"/>
          <w:szCs w:val="24"/>
        </w:rPr>
        <w:t>Livewell</w:t>
      </w:r>
      <w:proofErr w:type="spellEnd"/>
      <w:r w:rsidRPr="009D4C1A">
        <w:rPr>
          <w:rFonts w:ascii="Garamond" w:hAnsi="Garamond"/>
          <w:sz w:val="24"/>
          <w:szCs w:val="24"/>
        </w:rPr>
        <w:t xml:space="preserve"> Access Card (provided by professor)</w:t>
      </w:r>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Camera (Smartphone)</w:t>
      </w:r>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YouTube account (or Gmail account)</w:t>
      </w:r>
    </w:p>
    <w:p w:rsidR="009D4C1A" w:rsidRPr="009D4C1A" w:rsidRDefault="009D4C1A" w:rsidP="009D4C1A">
      <w:pPr>
        <w:pStyle w:val="ListParagraph"/>
        <w:numPr>
          <w:ilvl w:val="0"/>
          <w:numId w:val="3"/>
        </w:numPr>
        <w:rPr>
          <w:rFonts w:ascii="Garamond" w:hAnsi="Garamond"/>
          <w:sz w:val="24"/>
          <w:szCs w:val="24"/>
        </w:rPr>
      </w:pPr>
      <w:r w:rsidRPr="009D4C1A">
        <w:rPr>
          <w:rFonts w:ascii="Garamond" w:hAnsi="Garamond"/>
          <w:sz w:val="24"/>
          <w:szCs w:val="24"/>
        </w:rPr>
        <w:t>Personal computer to download interactive game OR See library technician for assistance downloading game via City Tech computer</w:t>
      </w:r>
    </w:p>
    <w:p w:rsidR="009D4C1A" w:rsidRDefault="009D4C1A" w:rsidP="009C6DFA">
      <w:pPr>
        <w:pStyle w:val="ListParagraph"/>
        <w:numPr>
          <w:ilvl w:val="0"/>
          <w:numId w:val="3"/>
        </w:numPr>
        <w:rPr>
          <w:rFonts w:ascii="Garamond" w:hAnsi="Garamond"/>
          <w:sz w:val="24"/>
          <w:szCs w:val="24"/>
        </w:rPr>
      </w:pPr>
      <w:r w:rsidRPr="009D4C1A">
        <w:rPr>
          <w:rFonts w:ascii="Garamond" w:hAnsi="Garamond"/>
          <w:sz w:val="24"/>
          <w:szCs w:val="24"/>
        </w:rPr>
        <w:t>Smart phone/mobile personal computer device</w:t>
      </w:r>
    </w:p>
    <w:p w:rsidR="009D4C1A" w:rsidRPr="009D4C1A" w:rsidRDefault="009D4C1A" w:rsidP="009D4C1A">
      <w:pPr>
        <w:rPr>
          <w:rFonts w:ascii="Garamond" w:hAnsi="Garamond"/>
          <w:sz w:val="24"/>
          <w:szCs w:val="24"/>
          <w:u w:val="single"/>
        </w:rPr>
      </w:pPr>
      <w:r w:rsidRPr="009D4C1A">
        <w:rPr>
          <w:rFonts w:ascii="Garamond" w:hAnsi="Garamond"/>
          <w:sz w:val="24"/>
          <w:szCs w:val="24"/>
          <w:u w:val="single"/>
        </w:rPr>
        <w:t xml:space="preserve">ADA Information </w:t>
      </w:r>
    </w:p>
    <w:p w:rsidR="009D4C1A" w:rsidRDefault="009D4C1A" w:rsidP="009C6DFA">
      <w:pPr>
        <w:rPr>
          <w:rFonts w:ascii="Garamond" w:hAnsi="Garamond"/>
          <w:sz w:val="24"/>
          <w:szCs w:val="24"/>
        </w:rPr>
      </w:pPr>
      <w:r w:rsidRPr="009D4C1A">
        <w:rPr>
          <w:rFonts w:ascii="Garamond" w:hAnsi="Garamond"/>
          <w:sz w:val="24"/>
          <w:szCs w:val="24"/>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 Thus states Section 504 of the Federal Rehabilitation Act of 1973. The American with Disabilities Act of 1990 (ADA), the landmark civil rights legislation, further reinforces the mandate of non-discrimination towards people with disabilities. These two legislative acts encompass a broad range of mandated equalizing opportunities. Universities and colleges must ensure accessibility to students with disabilities (SWDs) of any/all/full educational academic services and programs.</w:t>
      </w:r>
    </w:p>
    <w:bookmarkEnd w:id="0"/>
    <w:p w:rsidR="009C6DFA" w:rsidRPr="002C2DE5" w:rsidRDefault="009C6DFA" w:rsidP="009C6DFA">
      <w:pPr>
        <w:rPr>
          <w:rFonts w:ascii="Garamond" w:hAnsi="Garamond"/>
          <w:sz w:val="24"/>
          <w:szCs w:val="24"/>
        </w:rPr>
      </w:pPr>
      <w:proofErr w:type="gramStart"/>
      <w:r w:rsidRPr="009C6DFA">
        <w:rPr>
          <w:rFonts w:ascii="Garamond" w:hAnsi="Garamond"/>
          <w:sz w:val="24"/>
          <w:szCs w:val="24"/>
          <w:u w:val="single"/>
        </w:rPr>
        <w:lastRenderedPageBreak/>
        <w:t>Attendance</w:t>
      </w:r>
      <w:r w:rsidR="002C2DE5">
        <w:rPr>
          <w:rFonts w:ascii="Garamond" w:hAnsi="Garamond"/>
          <w:sz w:val="24"/>
          <w:szCs w:val="24"/>
        </w:rPr>
        <w:t>(</w:t>
      </w:r>
      <w:proofErr w:type="gramEnd"/>
      <w:r w:rsidR="002C2DE5">
        <w:rPr>
          <w:rFonts w:ascii="Garamond" w:hAnsi="Garamond"/>
          <w:sz w:val="24"/>
          <w:szCs w:val="24"/>
        </w:rPr>
        <w:t>10% of final grade)</w:t>
      </w:r>
    </w:p>
    <w:p w:rsidR="009D4C1A" w:rsidRPr="002C2DE5" w:rsidRDefault="009C6DFA" w:rsidP="002C2DE5">
      <w:pPr>
        <w:pStyle w:val="ListParagraph"/>
        <w:numPr>
          <w:ilvl w:val="0"/>
          <w:numId w:val="4"/>
        </w:numPr>
        <w:rPr>
          <w:rFonts w:ascii="Garamond" w:hAnsi="Garamond"/>
          <w:sz w:val="24"/>
          <w:szCs w:val="24"/>
        </w:rPr>
      </w:pPr>
      <w:r w:rsidRPr="002C2DE5">
        <w:rPr>
          <w:rFonts w:ascii="Garamond" w:hAnsi="Garamond"/>
          <w:sz w:val="24"/>
          <w:szCs w:val="24"/>
        </w:rPr>
        <w:t xml:space="preserve">A student may be absent without penalty for 10% of the number of scheduled class meetings during the semester. </w:t>
      </w:r>
    </w:p>
    <w:p w:rsidR="009D4C1A" w:rsidRPr="002C2DE5" w:rsidRDefault="009C6DFA" w:rsidP="002C2DE5">
      <w:pPr>
        <w:pStyle w:val="ListParagraph"/>
        <w:numPr>
          <w:ilvl w:val="0"/>
          <w:numId w:val="4"/>
        </w:numPr>
        <w:rPr>
          <w:rFonts w:ascii="Garamond" w:hAnsi="Garamond"/>
          <w:sz w:val="24"/>
          <w:szCs w:val="24"/>
        </w:rPr>
      </w:pPr>
      <w:r w:rsidRPr="002C2DE5">
        <w:rPr>
          <w:rFonts w:ascii="Garamond" w:hAnsi="Garamond"/>
          <w:sz w:val="24"/>
          <w:szCs w:val="24"/>
        </w:rPr>
        <w:t xml:space="preserve">We meet twice per week, allowing you to miss up to 3 absences. More than three absences will negatively affect your grade. If you are going to be absent, please let me know in advance. If it is an emergency situation, please contact me within 24 hours of your absences. </w:t>
      </w:r>
    </w:p>
    <w:p w:rsidR="009C6DFA" w:rsidRPr="002C2DE5" w:rsidRDefault="009C6DFA" w:rsidP="002C2DE5">
      <w:pPr>
        <w:pStyle w:val="ListParagraph"/>
        <w:numPr>
          <w:ilvl w:val="0"/>
          <w:numId w:val="4"/>
        </w:numPr>
        <w:rPr>
          <w:rFonts w:ascii="Garamond" w:hAnsi="Garamond"/>
          <w:sz w:val="24"/>
          <w:szCs w:val="24"/>
        </w:rPr>
      </w:pPr>
      <w:r w:rsidRPr="002C2DE5">
        <w:rPr>
          <w:rFonts w:ascii="Garamond" w:hAnsi="Garamond"/>
          <w:sz w:val="24"/>
          <w:szCs w:val="24"/>
        </w:rPr>
        <w:t>An absence is an absence, whether it is “excused” or not. Contacting me prior does not ‘waive’ the absence.</w:t>
      </w:r>
    </w:p>
    <w:p w:rsidR="002C2DE5" w:rsidRPr="002C2DE5" w:rsidRDefault="009C6DFA" w:rsidP="009C6DFA">
      <w:pPr>
        <w:pStyle w:val="Default"/>
        <w:jc w:val="center"/>
        <w:rPr>
          <w:b/>
          <w:bCs/>
          <w:color w:val="323232"/>
          <w:sz w:val="32"/>
          <w:u w:val="single"/>
        </w:rPr>
      </w:pPr>
      <w:r w:rsidRPr="002C2DE5">
        <w:rPr>
          <w:b/>
          <w:bCs/>
          <w:color w:val="323232"/>
          <w:sz w:val="32"/>
          <w:u w:val="single"/>
        </w:rPr>
        <w:t>Grading</w:t>
      </w:r>
    </w:p>
    <w:p w:rsidR="002C2DE5" w:rsidRPr="002C2DE5" w:rsidRDefault="002C2DE5" w:rsidP="002C2DE5">
      <w:pPr>
        <w:pStyle w:val="Default"/>
        <w:rPr>
          <w:b/>
          <w:bCs/>
          <w:color w:val="323232"/>
        </w:rPr>
      </w:pPr>
      <w:r>
        <w:rPr>
          <w:b/>
          <w:bCs/>
          <w:color w:val="323232"/>
        </w:rPr>
        <w:t>Work Component</w:t>
      </w:r>
      <w:r>
        <w:rPr>
          <w:b/>
          <w:bCs/>
          <w:color w:val="323232"/>
        </w:rPr>
        <w:tab/>
      </w:r>
      <w:r>
        <w:rPr>
          <w:b/>
          <w:bCs/>
          <w:color w:val="323232"/>
        </w:rPr>
        <w:tab/>
      </w:r>
      <w:r>
        <w:rPr>
          <w:b/>
          <w:bCs/>
          <w:color w:val="323232"/>
        </w:rPr>
        <w:tab/>
      </w:r>
      <w:r>
        <w:rPr>
          <w:b/>
          <w:bCs/>
          <w:color w:val="323232"/>
        </w:rPr>
        <w:tab/>
        <w:t>% per assignment</w:t>
      </w:r>
      <w:r>
        <w:rPr>
          <w:b/>
          <w:bCs/>
          <w:color w:val="323232"/>
        </w:rPr>
        <w:tab/>
      </w:r>
      <w:r>
        <w:rPr>
          <w:b/>
          <w:bCs/>
          <w:color w:val="323232"/>
        </w:rPr>
        <w:tab/>
        <w:t xml:space="preserve"> % cumulative</w:t>
      </w:r>
    </w:p>
    <w:p w:rsidR="009C6DFA" w:rsidRPr="009C6DFA" w:rsidRDefault="009C6DFA" w:rsidP="009C6DFA">
      <w:pPr>
        <w:pStyle w:val="Default"/>
        <w:jc w:val="center"/>
        <w:rPr>
          <w:b/>
          <w:bCs/>
          <w:color w:val="323232"/>
          <w:u w:val="single"/>
        </w:rPr>
      </w:pPr>
    </w:p>
    <w:p w:rsidR="009D4C1A" w:rsidRDefault="009D4C1A" w:rsidP="009D4C1A">
      <w:pPr>
        <w:pStyle w:val="Default"/>
        <w:rPr>
          <w:bCs/>
          <w:color w:val="323232"/>
        </w:rPr>
      </w:pPr>
      <w:r w:rsidRPr="002C2DE5">
        <w:rPr>
          <w:bCs/>
          <w:color w:val="323232"/>
          <w:u w:val="single"/>
        </w:rPr>
        <w:t>Attendance</w:t>
      </w:r>
      <w:r>
        <w:rPr>
          <w:bCs/>
          <w:color w:val="323232"/>
        </w:rPr>
        <w:tab/>
      </w:r>
      <w:r>
        <w:rPr>
          <w:bCs/>
          <w:color w:val="323232"/>
        </w:rPr>
        <w:tab/>
      </w:r>
      <w:r>
        <w:rPr>
          <w:bCs/>
          <w:color w:val="323232"/>
        </w:rPr>
        <w:tab/>
      </w:r>
      <w:r>
        <w:rPr>
          <w:bCs/>
          <w:color w:val="323232"/>
        </w:rPr>
        <w:tab/>
      </w:r>
      <w:r>
        <w:rPr>
          <w:bCs/>
          <w:color w:val="323232"/>
        </w:rPr>
        <w:tab/>
      </w:r>
      <w:r>
        <w:rPr>
          <w:bCs/>
          <w:color w:val="323232"/>
        </w:rPr>
        <w:tab/>
      </w:r>
      <w:r w:rsidR="002C2DE5">
        <w:rPr>
          <w:bCs/>
          <w:color w:val="323232"/>
        </w:rPr>
        <w:t>10%</w:t>
      </w:r>
      <w:r>
        <w:rPr>
          <w:bCs/>
          <w:color w:val="323232"/>
        </w:rPr>
        <w:tab/>
      </w:r>
      <w:r>
        <w:rPr>
          <w:bCs/>
          <w:color w:val="323232"/>
        </w:rPr>
        <w:tab/>
      </w:r>
      <w:r>
        <w:rPr>
          <w:bCs/>
          <w:color w:val="323232"/>
        </w:rPr>
        <w:tab/>
      </w:r>
      <w:r>
        <w:rPr>
          <w:bCs/>
          <w:color w:val="323232"/>
        </w:rPr>
        <w:tab/>
      </w:r>
      <w:r w:rsidRPr="009D4C1A">
        <w:rPr>
          <w:b/>
          <w:bCs/>
          <w:color w:val="323232"/>
        </w:rPr>
        <w:t>10%</w:t>
      </w:r>
    </w:p>
    <w:p w:rsidR="009D4C1A" w:rsidRDefault="009D4C1A" w:rsidP="009D4C1A">
      <w:pPr>
        <w:pStyle w:val="Default"/>
        <w:rPr>
          <w:bCs/>
          <w:color w:val="323232"/>
        </w:rPr>
      </w:pPr>
      <w:r w:rsidRPr="00A66DCA">
        <w:rPr>
          <w:bCs/>
          <w:color w:val="FF0000"/>
          <w:u w:val="single"/>
        </w:rPr>
        <w:t>Online Work</w:t>
      </w:r>
      <w:r w:rsidRPr="00A66DCA">
        <w:rPr>
          <w:bCs/>
          <w:color w:val="FF0000"/>
        </w:rPr>
        <w:tab/>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p>
    <w:p w:rsidR="009D4C1A" w:rsidRDefault="009D4C1A" w:rsidP="009D4C1A">
      <w:pPr>
        <w:pStyle w:val="Default"/>
        <w:rPr>
          <w:bCs/>
          <w:color w:val="323232"/>
        </w:rPr>
      </w:pPr>
      <w:r>
        <w:rPr>
          <w:bCs/>
          <w:color w:val="323232"/>
        </w:rPr>
        <w:tab/>
        <w:t>Tuskegee Activity</w:t>
      </w:r>
      <w:r>
        <w:rPr>
          <w:bCs/>
          <w:color w:val="323232"/>
        </w:rPr>
        <w:tab/>
      </w:r>
      <w:r>
        <w:rPr>
          <w:bCs/>
          <w:color w:val="323232"/>
        </w:rPr>
        <w:tab/>
      </w:r>
      <w:r>
        <w:rPr>
          <w:bCs/>
          <w:color w:val="323232"/>
        </w:rPr>
        <w:tab/>
      </w:r>
      <w:r>
        <w:rPr>
          <w:bCs/>
          <w:color w:val="323232"/>
        </w:rPr>
        <w:tab/>
        <w:t>5%</w:t>
      </w:r>
    </w:p>
    <w:p w:rsidR="009D4C1A" w:rsidRPr="002C2DE5" w:rsidRDefault="009D4C1A" w:rsidP="009D4C1A">
      <w:pPr>
        <w:pStyle w:val="Default"/>
        <w:rPr>
          <w:b/>
          <w:bCs/>
          <w:color w:val="323232"/>
        </w:rPr>
      </w:pPr>
      <w:r>
        <w:rPr>
          <w:bCs/>
          <w:color w:val="323232"/>
        </w:rPr>
        <w:tab/>
        <w:t>Pre-viewing/Post-viewing Activities</w:t>
      </w:r>
      <w:r>
        <w:rPr>
          <w:bCs/>
          <w:color w:val="323232"/>
        </w:rPr>
        <w:tab/>
      </w:r>
      <w:r>
        <w:rPr>
          <w:bCs/>
          <w:color w:val="323232"/>
        </w:rPr>
        <w:tab/>
        <w:t>10%</w:t>
      </w:r>
      <w:r w:rsidR="002C2DE5">
        <w:rPr>
          <w:bCs/>
          <w:color w:val="323232"/>
        </w:rPr>
        <w:tab/>
      </w:r>
      <w:r w:rsidR="002C2DE5">
        <w:rPr>
          <w:bCs/>
          <w:color w:val="323232"/>
        </w:rPr>
        <w:tab/>
      </w:r>
      <w:r w:rsidR="002C2DE5">
        <w:rPr>
          <w:bCs/>
          <w:color w:val="323232"/>
        </w:rPr>
        <w:tab/>
      </w:r>
      <w:r w:rsidR="002C2DE5">
        <w:rPr>
          <w:bCs/>
          <w:color w:val="323232"/>
        </w:rPr>
        <w:tab/>
      </w:r>
      <w:r w:rsidR="002C2DE5">
        <w:rPr>
          <w:b/>
          <w:bCs/>
          <w:color w:val="323232"/>
        </w:rPr>
        <w:t>25%</w:t>
      </w:r>
    </w:p>
    <w:p w:rsidR="009D4C1A" w:rsidRPr="009D4C1A" w:rsidRDefault="009D4C1A" w:rsidP="009D4C1A">
      <w:pPr>
        <w:pStyle w:val="Default"/>
        <w:rPr>
          <w:b/>
          <w:bCs/>
          <w:color w:val="323232"/>
        </w:rPr>
      </w:pPr>
      <w:r w:rsidRPr="002C2DE5">
        <w:rPr>
          <w:bCs/>
          <w:color w:val="323232"/>
          <w:u w:val="single"/>
        </w:rPr>
        <w:t>Boundless Reading</w:t>
      </w:r>
      <w:r w:rsidR="002C2DE5">
        <w:rPr>
          <w:bCs/>
          <w:color w:val="323232"/>
          <w:u w:val="single"/>
        </w:rPr>
        <w:t>s</w:t>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r>
        <w:rPr>
          <w:bCs/>
          <w:color w:val="323232"/>
        </w:rPr>
        <w:tab/>
      </w:r>
    </w:p>
    <w:p w:rsidR="009D4C1A" w:rsidRDefault="009D4C1A" w:rsidP="009D4C1A">
      <w:pPr>
        <w:pStyle w:val="Default"/>
        <w:rPr>
          <w:bCs/>
          <w:color w:val="323232"/>
        </w:rPr>
      </w:pPr>
      <w:r>
        <w:rPr>
          <w:bCs/>
          <w:color w:val="323232"/>
        </w:rPr>
        <w:tab/>
        <w:t>Readings</w:t>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t>5</w:t>
      </w:r>
      <w:r>
        <w:rPr>
          <w:bCs/>
          <w:color w:val="323232"/>
        </w:rPr>
        <w:t>%</w:t>
      </w:r>
    </w:p>
    <w:p w:rsidR="009D4C1A" w:rsidRPr="002C2DE5" w:rsidRDefault="009D4C1A" w:rsidP="009D4C1A">
      <w:pPr>
        <w:pStyle w:val="Default"/>
        <w:rPr>
          <w:b/>
          <w:bCs/>
          <w:color w:val="323232"/>
        </w:rPr>
      </w:pPr>
      <w:r>
        <w:rPr>
          <w:bCs/>
          <w:color w:val="323232"/>
        </w:rPr>
        <w:tab/>
        <w:t>Quizzes</w:t>
      </w:r>
      <w:r>
        <w:rPr>
          <w:bCs/>
          <w:color w:val="323232"/>
        </w:rPr>
        <w:tab/>
      </w:r>
      <w:r>
        <w:rPr>
          <w:bCs/>
          <w:color w:val="323232"/>
        </w:rPr>
        <w:tab/>
      </w:r>
      <w:r>
        <w:rPr>
          <w:bCs/>
          <w:color w:val="323232"/>
        </w:rPr>
        <w:tab/>
      </w:r>
      <w:r>
        <w:rPr>
          <w:bCs/>
          <w:color w:val="323232"/>
        </w:rPr>
        <w:tab/>
      </w:r>
      <w:r>
        <w:rPr>
          <w:bCs/>
          <w:color w:val="323232"/>
        </w:rPr>
        <w:tab/>
        <w:t>5%</w:t>
      </w:r>
      <w:r w:rsidR="002C2DE5">
        <w:rPr>
          <w:bCs/>
          <w:color w:val="323232"/>
        </w:rPr>
        <w:tab/>
      </w:r>
      <w:r w:rsidR="002C2DE5">
        <w:rPr>
          <w:bCs/>
          <w:color w:val="323232"/>
        </w:rPr>
        <w:tab/>
      </w:r>
      <w:r w:rsidR="002C2DE5">
        <w:rPr>
          <w:bCs/>
          <w:color w:val="323232"/>
        </w:rPr>
        <w:tab/>
      </w:r>
      <w:r w:rsidR="002C2DE5">
        <w:rPr>
          <w:bCs/>
          <w:color w:val="323232"/>
        </w:rPr>
        <w:tab/>
      </w:r>
      <w:r w:rsidR="002C2DE5">
        <w:rPr>
          <w:b/>
          <w:bCs/>
          <w:color w:val="323232"/>
        </w:rPr>
        <w:t>35%</w:t>
      </w:r>
    </w:p>
    <w:p w:rsidR="009D4C1A" w:rsidRPr="002C2DE5" w:rsidRDefault="009D4C1A" w:rsidP="009D4C1A">
      <w:pPr>
        <w:pStyle w:val="Default"/>
        <w:rPr>
          <w:b/>
          <w:bCs/>
          <w:color w:val="323232"/>
        </w:rPr>
      </w:pPr>
      <w:proofErr w:type="spellStart"/>
      <w:r w:rsidRPr="00A66DCA">
        <w:rPr>
          <w:bCs/>
          <w:color w:val="1F497D" w:themeColor="text2"/>
          <w:u w:val="single"/>
        </w:rPr>
        <w:t>Prochange</w:t>
      </w:r>
      <w:proofErr w:type="spellEnd"/>
      <w:r w:rsidRPr="00A66DCA">
        <w:rPr>
          <w:bCs/>
          <w:color w:val="1F497D" w:themeColor="text2"/>
          <w:u w:val="single"/>
        </w:rPr>
        <w:t xml:space="preserve"> </w:t>
      </w:r>
      <w:proofErr w:type="spellStart"/>
      <w:r w:rsidRPr="00A66DCA">
        <w:rPr>
          <w:bCs/>
          <w:color w:val="1F497D" w:themeColor="text2"/>
          <w:u w:val="single"/>
        </w:rPr>
        <w:t>Livewell</w:t>
      </w:r>
      <w:proofErr w:type="spellEnd"/>
      <w:r w:rsidRPr="00A66DCA">
        <w:rPr>
          <w:bCs/>
          <w:color w:val="1F497D" w:themeColor="text2"/>
          <w:u w:val="single"/>
        </w:rPr>
        <w:t xml:space="preserve"> Behavior Program for College Students</w:t>
      </w:r>
      <w:r w:rsidR="002C2DE5">
        <w:rPr>
          <w:bCs/>
          <w:color w:val="323232"/>
        </w:rPr>
        <w:tab/>
      </w:r>
      <w:r w:rsidR="002C2DE5">
        <w:rPr>
          <w:bCs/>
          <w:color w:val="323232"/>
        </w:rPr>
        <w:tab/>
      </w:r>
      <w:r w:rsidR="002C2DE5">
        <w:rPr>
          <w:bCs/>
          <w:color w:val="323232"/>
        </w:rPr>
        <w:tab/>
      </w:r>
      <w:r w:rsidR="002C2DE5">
        <w:rPr>
          <w:bCs/>
          <w:color w:val="323232"/>
        </w:rPr>
        <w:tab/>
      </w:r>
    </w:p>
    <w:p w:rsidR="009D4C1A" w:rsidRDefault="009D4C1A" w:rsidP="009D4C1A">
      <w:pPr>
        <w:pStyle w:val="Default"/>
        <w:rPr>
          <w:bCs/>
          <w:color w:val="323232"/>
        </w:rPr>
      </w:pPr>
      <w:r>
        <w:rPr>
          <w:bCs/>
          <w:color w:val="323232"/>
        </w:rPr>
        <w:tab/>
        <w:t>Completion of 3 behavior modifications</w:t>
      </w:r>
      <w:r w:rsidR="002C2DE5">
        <w:rPr>
          <w:bCs/>
          <w:color w:val="323232"/>
        </w:rPr>
        <w:tab/>
        <w:t>5%</w:t>
      </w:r>
    </w:p>
    <w:p w:rsidR="009D4C1A" w:rsidRPr="002C2DE5" w:rsidRDefault="009D4C1A" w:rsidP="009D4C1A">
      <w:pPr>
        <w:pStyle w:val="Default"/>
        <w:rPr>
          <w:b/>
          <w:bCs/>
          <w:color w:val="323232"/>
        </w:rPr>
      </w:pPr>
      <w:r>
        <w:rPr>
          <w:bCs/>
          <w:color w:val="323232"/>
        </w:rPr>
        <w:tab/>
        <w:t>Image presentation</w:t>
      </w:r>
      <w:r w:rsidR="002C2DE5">
        <w:rPr>
          <w:bCs/>
          <w:color w:val="323232"/>
        </w:rPr>
        <w:tab/>
      </w:r>
      <w:r w:rsidR="002C2DE5">
        <w:rPr>
          <w:bCs/>
          <w:color w:val="323232"/>
        </w:rPr>
        <w:tab/>
      </w:r>
      <w:r w:rsidR="002C2DE5">
        <w:rPr>
          <w:bCs/>
          <w:color w:val="323232"/>
        </w:rPr>
        <w:tab/>
      </w:r>
      <w:r w:rsidR="002C2DE5">
        <w:rPr>
          <w:bCs/>
          <w:color w:val="323232"/>
        </w:rPr>
        <w:tab/>
        <w:t>5%</w:t>
      </w:r>
      <w:r w:rsidR="002C2DE5">
        <w:rPr>
          <w:bCs/>
          <w:color w:val="323232"/>
        </w:rPr>
        <w:tab/>
      </w:r>
      <w:r w:rsidR="002C2DE5">
        <w:rPr>
          <w:bCs/>
          <w:color w:val="323232"/>
        </w:rPr>
        <w:tab/>
      </w:r>
      <w:r w:rsidR="002C2DE5">
        <w:rPr>
          <w:bCs/>
          <w:color w:val="323232"/>
        </w:rPr>
        <w:tab/>
      </w:r>
      <w:r w:rsidR="002C2DE5">
        <w:rPr>
          <w:bCs/>
          <w:color w:val="323232"/>
        </w:rPr>
        <w:tab/>
      </w:r>
      <w:r w:rsidR="002C2DE5">
        <w:rPr>
          <w:b/>
          <w:bCs/>
          <w:color w:val="323232"/>
        </w:rPr>
        <w:t>45%</w:t>
      </w:r>
    </w:p>
    <w:p w:rsidR="009D4C1A" w:rsidRPr="002C2DE5" w:rsidRDefault="009D4C1A" w:rsidP="009D4C1A">
      <w:pPr>
        <w:pStyle w:val="Default"/>
        <w:rPr>
          <w:b/>
          <w:bCs/>
          <w:color w:val="323232"/>
        </w:rPr>
      </w:pPr>
      <w:r w:rsidRPr="00A66DCA">
        <w:rPr>
          <w:bCs/>
          <w:color w:val="00B050"/>
          <w:u w:val="single"/>
        </w:rPr>
        <w:t>Group Work</w:t>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p>
    <w:p w:rsidR="009D4C1A" w:rsidRDefault="009D4C1A" w:rsidP="009D4C1A">
      <w:pPr>
        <w:pStyle w:val="Default"/>
        <w:rPr>
          <w:bCs/>
          <w:color w:val="323232"/>
        </w:rPr>
      </w:pPr>
      <w:r>
        <w:rPr>
          <w:bCs/>
          <w:color w:val="323232"/>
        </w:rPr>
        <w:tab/>
        <w:t xml:space="preserve">In-class Health Theory Worksheet </w:t>
      </w:r>
      <w:r w:rsidR="002C2DE5">
        <w:rPr>
          <w:bCs/>
          <w:color w:val="323232"/>
        </w:rPr>
        <w:tab/>
      </w:r>
      <w:r w:rsidR="002C2DE5">
        <w:rPr>
          <w:bCs/>
          <w:color w:val="323232"/>
        </w:rPr>
        <w:tab/>
        <w:t>5%</w:t>
      </w:r>
    </w:p>
    <w:p w:rsidR="009D4C1A" w:rsidRPr="002C2DE5" w:rsidRDefault="009D4C1A" w:rsidP="009D4C1A">
      <w:pPr>
        <w:pStyle w:val="Default"/>
        <w:rPr>
          <w:b/>
          <w:bCs/>
          <w:color w:val="323232"/>
        </w:rPr>
      </w:pPr>
      <w:r>
        <w:rPr>
          <w:bCs/>
          <w:color w:val="323232"/>
        </w:rPr>
        <w:tab/>
        <w:t>Group Poster Presentation</w:t>
      </w:r>
      <w:r w:rsidR="002C2DE5">
        <w:rPr>
          <w:bCs/>
          <w:color w:val="323232"/>
        </w:rPr>
        <w:tab/>
      </w:r>
      <w:r w:rsidR="002C2DE5">
        <w:rPr>
          <w:bCs/>
          <w:color w:val="323232"/>
        </w:rPr>
        <w:tab/>
      </w:r>
      <w:r w:rsidR="002C2DE5">
        <w:rPr>
          <w:bCs/>
          <w:color w:val="323232"/>
        </w:rPr>
        <w:tab/>
        <w:t>10%</w:t>
      </w:r>
      <w:r w:rsidR="002C2DE5">
        <w:rPr>
          <w:bCs/>
          <w:color w:val="323232"/>
        </w:rPr>
        <w:tab/>
      </w:r>
      <w:r w:rsidR="002C2DE5">
        <w:rPr>
          <w:bCs/>
          <w:color w:val="323232"/>
        </w:rPr>
        <w:tab/>
      </w:r>
      <w:r w:rsidR="002C2DE5">
        <w:rPr>
          <w:bCs/>
          <w:color w:val="323232"/>
        </w:rPr>
        <w:tab/>
      </w:r>
      <w:r w:rsidR="002C2DE5">
        <w:rPr>
          <w:bCs/>
          <w:color w:val="323232"/>
        </w:rPr>
        <w:tab/>
      </w:r>
      <w:r w:rsidR="002C2DE5">
        <w:rPr>
          <w:b/>
          <w:bCs/>
          <w:color w:val="323232"/>
        </w:rPr>
        <w:t>60%</w:t>
      </w:r>
    </w:p>
    <w:p w:rsidR="009D4C1A" w:rsidRPr="002C2DE5" w:rsidRDefault="009D4C1A" w:rsidP="009D4C1A">
      <w:pPr>
        <w:pStyle w:val="Default"/>
        <w:rPr>
          <w:b/>
          <w:bCs/>
          <w:color w:val="323232"/>
        </w:rPr>
      </w:pPr>
      <w:r w:rsidRPr="00A66DCA">
        <w:rPr>
          <w:bCs/>
          <w:color w:val="E36C0A" w:themeColor="accent6" w:themeShade="BF"/>
          <w:u w:val="single"/>
        </w:rPr>
        <w:t>Paper</w:t>
      </w:r>
      <w:r w:rsidR="002C2DE5" w:rsidRPr="00A66DCA">
        <w:rPr>
          <w:bCs/>
          <w:color w:val="E36C0A" w:themeColor="accent6" w:themeShade="BF"/>
          <w:u w:val="single"/>
        </w:rPr>
        <w:t>s</w:t>
      </w:r>
      <w:r w:rsidR="002C2DE5" w:rsidRPr="00A66DCA">
        <w:rPr>
          <w:bCs/>
          <w:color w:val="E36C0A" w:themeColor="accent6" w:themeShade="BF"/>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r>
    </w:p>
    <w:p w:rsidR="009D4C1A" w:rsidRDefault="009D4C1A" w:rsidP="009D4C1A">
      <w:pPr>
        <w:pStyle w:val="Default"/>
        <w:rPr>
          <w:bCs/>
          <w:color w:val="323232"/>
        </w:rPr>
      </w:pPr>
      <w:r>
        <w:rPr>
          <w:bCs/>
          <w:color w:val="323232"/>
        </w:rPr>
        <w:tab/>
        <w:t>I’m Positive</w:t>
      </w:r>
      <w:r w:rsidR="002C2DE5">
        <w:rPr>
          <w:bCs/>
          <w:color w:val="323232"/>
        </w:rPr>
        <w:tab/>
      </w:r>
      <w:r w:rsidR="002C2DE5">
        <w:rPr>
          <w:bCs/>
          <w:color w:val="323232"/>
        </w:rPr>
        <w:tab/>
      </w:r>
      <w:r w:rsidR="002C2DE5">
        <w:rPr>
          <w:bCs/>
          <w:color w:val="323232"/>
        </w:rPr>
        <w:tab/>
      </w:r>
      <w:r w:rsidR="002C2DE5">
        <w:rPr>
          <w:bCs/>
          <w:color w:val="323232"/>
        </w:rPr>
        <w:tab/>
      </w:r>
      <w:r w:rsidR="002C2DE5">
        <w:rPr>
          <w:bCs/>
          <w:color w:val="323232"/>
        </w:rPr>
        <w:tab/>
        <w:t>10%</w:t>
      </w:r>
    </w:p>
    <w:p w:rsidR="009D4C1A" w:rsidRDefault="002C2DE5" w:rsidP="009D4C1A">
      <w:pPr>
        <w:pStyle w:val="Default"/>
        <w:rPr>
          <w:bCs/>
          <w:color w:val="323232"/>
        </w:rPr>
      </w:pPr>
      <w:r>
        <w:rPr>
          <w:bCs/>
          <w:color w:val="323232"/>
        </w:rPr>
        <w:tab/>
        <w:t xml:space="preserve">Individual Article Critique </w:t>
      </w:r>
      <w:r>
        <w:rPr>
          <w:bCs/>
          <w:color w:val="323232"/>
        </w:rPr>
        <w:tab/>
      </w:r>
      <w:r>
        <w:rPr>
          <w:bCs/>
          <w:color w:val="323232"/>
        </w:rPr>
        <w:tab/>
      </w:r>
      <w:r>
        <w:rPr>
          <w:bCs/>
          <w:color w:val="323232"/>
        </w:rPr>
        <w:tab/>
        <w:t>10%</w:t>
      </w:r>
    </w:p>
    <w:p w:rsidR="009D4C1A" w:rsidRPr="002C2DE5" w:rsidRDefault="009D4C1A" w:rsidP="009D4C1A">
      <w:pPr>
        <w:pStyle w:val="Default"/>
        <w:rPr>
          <w:b/>
          <w:bCs/>
          <w:color w:val="323232"/>
        </w:rPr>
      </w:pPr>
      <w:r>
        <w:rPr>
          <w:bCs/>
          <w:color w:val="323232"/>
        </w:rPr>
        <w:tab/>
        <w:t>Critical Race Paper</w:t>
      </w:r>
      <w:r w:rsidR="002C2DE5">
        <w:rPr>
          <w:bCs/>
          <w:color w:val="323232"/>
        </w:rPr>
        <w:tab/>
      </w:r>
      <w:r w:rsidR="002C2DE5">
        <w:rPr>
          <w:bCs/>
          <w:color w:val="323232"/>
        </w:rPr>
        <w:tab/>
      </w:r>
      <w:r w:rsidR="002C2DE5">
        <w:rPr>
          <w:bCs/>
          <w:color w:val="323232"/>
        </w:rPr>
        <w:tab/>
      </w:r>
      <w:r w:rsidR="002C2DE5">
        <w:rPr>
          <w:bCs/>
          <w:color w:val="323232"/>
        </w:rPr>
        <w:tab/>
        <w:t>10%</w:t>
      </w:r>
      <w:r w:rsidR="002C2DE5">
        <w:rPr>
          <w:bCs/>
          <w:color w:val="323232"/>
        </w:rPr>
        <w:tab/>
      </w:r>
      <w:r w:rsidR="002C2DE5">
        <w:rPr>
          <w:bCs/>
          <w:color w:val="323232"/>
        </w:rPr>
        <w:tab/>
      </w:r>
      <w:r w:rsidR="002C2DE5">
        <w:rPr>
          <w:bCs/>
          <w:color w:val="323232"/>
        </w:rPr>
        <w:tab/>
      </w:r>
      <w:r w:rsidR="002C2DE5">
        <w:rPr>
          <w:bCs/>
          <w:color w:val="323232"/>
        </w:rPr>
        <w:tab/>
      </w:r>
      <w:r w:rsidR="002C2DE5">
        <w:rPr>
          <w:b/>
          <w:bCs/>
          <w:color w:val="323232"/>
        </w:rPr>
        <w:t>90%</w:t>
      </w:r>
    </w:p>
    <w:p w:rsidR="002C2DE5" w:rsidRPr="002C2DE5" w:rsidRDefault="002C2DE5" w:rsidP="009D4C1A">
      <w:pPr>
        <w:pStyle w:val="Default"/>
        <w:rPr>
          <w:b/>
          <w:bCs/>
          <w:color w:val="323232"/>
        </w:rPr>
      </w:pPr>
      <w:r>
        <w:rPr>
          <w:bCs/>
          <w:color w:val="323232"/>
          <w:u w:val="single"/>
        </w:rPr>
        <w:t xml:space="preserve">Final Exam </w:t>
      </w:r>
      <w:r>
        <w:rPr>
          <w:bCs/>
          <w:color w:val="323232"/>
        </w:rPr>
        <w:t>(Written self-reflection given last day)</w:t>
      </w:r>
      <w:r>
        <w:rPr>
          <w:bCs/>
          <w:color w:val="323232"/>
        </w:rPr>
        <w:tab/>
        <w:t>10%</w:t>
      </w:r>
      <w:r>
        <w:rPr>
          <w:bCs/>
          <w:color w:val="323232"/>
        </w:rPr>
        <w:tab/>
      </w:r>
      <w:r>
        <w:rPr>
          <w:bCs/>
          <w:color w:val="323232"/>
        </w:rPr>
        <w:tab/>
      </w:r>
      <w:r>
        <w:rPr>
          <w:bCs/>
          <w:color w:val="323232"/>
        </w:rPr>
        <w:tab/>
      </w:r>
      <w:r>
        <w:rPr>
          <w:bCs/>
          <w:color w:val="323232"/>
        </w:rPr>
        <w:tab/>
      </w:r>
      <w:r>
        <w:rPr>
          <w:b/>
          <w:bCs/>
          <w:color w:val="323232"/>
        </w:rPr>
        <w:t>100%</w:t>
      </w:r>
    </w:p>
    <w:p w:rsidR="009C6DFA" w:rsidRDefault="009C6DFA" w:rsidP="00A66DCA">
      <w:pPr>
        <w:pStyle w:val="Default"/>
        <w:jc w:val="center"/>
        <w:rPr>
          <w:b/>
          <w:bCs/>
          <w:color w:val="323232"/>
        </w:rPr>
      </w:pPr>
    </w:p>
    <w:p w:rsidR="00A66DCA" w:rsidRDefault="00A66DCA" w:rsidP="00A66DCA">
      <w:pPr>
        <w:pStyle w:val="Default"/>
        <w:jc w:val="center"/>
        <w:rPr>
          <w:b/>
          <w:bCs/>
          <w:color w:val="323232"/>
        </w:rPr>
      </w:pPr>
    </w:p>
    <w:p w:rsidR="00A66DCA" w:rsidRDefault="00A66DCA" w:rsidP="00A66DCA">
      <w:pPr>
        <w:pStyle w:val="Default"/>
        <w:jc w:val="center"/>
        <w:rPr>
          <w:b/>
          <w:bCs/>
          <w:color w:val="323232"/>
        </w:rPr>
      </w:pPr>
      <w:r>
        <w:rPr>
          <w:b/>
          <w:bCs/>
          <w:color w:val="323232"/>
        </w:rPr>
        <w:t>A (93.5-100%)</w:t>
      </w:r>
    </w:p>
    <w:p w:rsidR="00A66DCA" w:rsidRDefault="00A66DCA" w:rsidP="00A66DCA">
      <w:pPr>
        <w:pStyle w:val="Default"/>
        <w:jc w:val="center"/>
        <w:rPr>
          <w:b/>
          <w:bCs/>
          <w:color w:val="323232"/>
        </w:rPr>
      </w:pPr>
      <w:r>
        <w:rPr>
          <w:b/>
          <w:bCs/>
          <w:color w:val="323232"/>
        </w:rPr>
        <w:t>A- (89.5-93.4%)</w:t>
      </w:r>
    </w:p>
    <w:p w:rsidR="00A66DCA" w:rsidRDefault="00A66DCA" w:rsidP="00A66DCA">
      <w:pPr>
        <w:pStyle w:val="Default"/>
        <w:jc w:val="center"/>
        <w:rPr>
          <w:b/>
          <w:bCs/>
          <w:color w:val="323232"/>
        </w:rPr>
      </w:pPr>
      <w:r>
        <w:rPr>
          <w:b/>
          <w:bCs/>
          <w:color w:val="323232"/>
        </w:rPr>
        <w:t>B+ (86.5-89.4%)</w:t>
      </w:r>
    </w:p>
    <w:p w:rsidR="00A66DCA" w:rsidRDefault="00A66DCA" w:rsidP="00A66DCA">
      <w:pPr>
        <w:pStyle w:val="Default"/>
        <w:jc w:val="center"/>
        <w:rPr>
          <w:b/>
          <w:bCs/>
          <w:color w:val="323232"/>
        </w:rPr>
      </w:pPr>
      <w:r>
        <w:rPr>
          <w:b/>
          <w:bCs/>
          <w:color w:val="323232"/>
        </w:rPr>
        <w:t>B (83.5-86.4%)</w:t>
      </w:r>
    </w:p>
    <w:p w:rsidR="00A66DCA" w:rsidRDefault="00A66DCA" w:rsidP="00A66DCA">
      <w:pPr>
        <w:pStyle w:val="Default"/>
        <w:jc w:val="center"/>
        <w:rPr>
          <w:b/>
          <w:bCs/>
          <w:color w:val="323232"/>
        </w:rPr>
      </w:pPr>
      <w:r>
        <w:rPr>
          <w:b/>
          <w:bCs/>
          <w:color w:val="323232"/>
        </w:rPr>
        <w:t>B- (79.5-83.4%)</w:t>
      </w:r>
    </w:p>
    <w:p w:rsidR="00A66DCA" w:rsidRDefault="00A66DCA" w:rsidP="00A66DCA">
      <w:pPr>
        <w:pStyle w:val="Default"/>
        <w:jc w:val="center"/>
        <w:rPr>
          <w:b/>
          <w:bCs/>
          <w:color w:val="323232"/>
        </w:rPr>
      </w:pPr>
      <w:r>
        <w:rPr>
          <w:b/>
          <w:bCs/>
          <w:color w:val="323232"/>
        </w:rPr>
        <w:t>C</w:t>
      </w:r>
      <w:proofErr w:type="gramStart"/>
      <w:r>
        <w:rPr>
          <w:b/>
          <w:bCs/>
          <w:color w:val="323232"/>
        </w:rPr>
        <w:t>+(</w:t>
      </w:r>
      <w:proofErr w:type="gramEnd"/>
      <w:r>
        <w:rPr>
          <w:b/>
          <w:bCs/>
          <w:color w:val="323232"/>
        </w:rPr>
        <w:t>76.5-79.4%)</w:t>
      </w:r>
    </w:p>
    <w:p w:rsidR="00A66DCA" w:rsidRDefault="00A66DCA" w:rsidP="00A66DCA">
      <w:pPr>
        <w:pStyle w:val="Default"/>
        <w:jc w:val="center"/>
        <w:rPr>
          <w:b/>
          <w:bCs/>
          <w:color w:val="323232"/>
        </w:rPr>
      </w:pPr>
      <w:r>
        <w:rPr>
          <w:b/>
          <w:bCs/>
          <w:color w:val="323232"/>
        </w:rPr>
        <w:t>C (73.5-76.4%)</w:t>
      </w:r>
    </w:p>
    <w:p w:rsidR="00A66DCA" w:rsidRDefault="00A66DCA" w:rsidP="00A66DCA">
      <w:pPr>
        <w:pStyle w:val="Default"/>
        <w:jc w:val="center"/>
        <w:rPr>
          <w:b/>
          <w:bCs/>
          <w:color w:val="323232"/>
        </w:rPr>
      </w:pPr>
      <w:r>
        <w:rPr>
          <w:b/>
          <w:bCs/>
          <w:color w:val="323232"/>
        </w:rPr>
        <w:t>C- (69.5-73.4%)</w:t>
      </w:r>
    </w:p>
    <w:p w:rsidR="00A66DCA" w:rsidRDefault="00A66DCA" w:rsidP="00A66DCA">
      <w:pPr>
        <w:pStyle w:val="Default"/>
        <w:jc w:val="center"/>
        <w:rPr>
          <w:b/>
          <w:bCs/>
          <w:color w:val="323232"/>
        </w:rPr>
      </w:pPr>
      <w:r w:rsidRPr="00A66DCA">
        <w:rPr>
          <w:b/>
          <w:bCs/>
          <w:color w:val="323232"/>
        </w:rPr>
        <w:t>D (59.5-69.4%</w:t>
      </w:r>
      <w:r>
        <w:rPr>
          <w:b/>
          <w:bCs/>
          <w:color w:val="323232"/>
        </w:rPr>
        <w:t>)</w:t>
      </w:r>
    </w:p>
    <w:p w:rsidR="00A66DCA" w:rsidRPr="00A66DCA" w:rsidRDefault="00A66DCA" w:rsidP="00A66DCA">
      <w:pPr>
        <w:pStyle w:val="Default"/>
        <w:jc w:val="center"/>
        <w:rPr>
          <w:b/>
          <w:bCs/>
          <w:color w:val="323232"/>
        </w:rPr>
      </w:pPr>
      <w:r w:rsidRPr="00A66DCA">
        <w:rPr>
          <w:b/>
          <w:bCs/>
          <w:color w:val="323232"/>
        </w:rPr>
        <w:t>F (59.4% or below)</w:t>
      </w:r>
    </w:p>
    <w:p w:rsidR="009C6DFA" w:rsidRPr="009C6DFA" w:rsidRDefault="009C6DFA" w:rsidP="009C6DFA">
      <w:pPr>
        <w:rPr>
          <w:rFonts w:ascii="Garamond" w:hAnsi="Garamond"/>
          <w:sz w:val="24"/>
          <w:szCs w:val="24"/>
        </w:rPr>
      </w:pPr>
    </w:p>
    <w:p w:rsidR="009C6DFA" w:rsidRPr="009C6DFA" w:rsidRDefault="009C6DFA" w:rsidP="009C6DFA">
      <w:pPr>
        <w:rPr>
          <w:rFonts w:ascii="Garamond" w:hAnsi="Garamond"/>
          <w:sz w:val="24"/>
          <w:szCs w:val="24"/>
        </w:rPr>
      </w:pPr>
    </w:p>
    <w:p w:rsidR="009C6DFA" w:rsidRPr="009C6DFA" w:rsidRDefault="009C6DFA" w:rsidP="009C6DFA">
      <w:pPr>
        <w:rPr>
          <w:rFonts w:ascii="Garamond" w:hAnsi="Garamond"/>
          <w:sz w:val="24"/>
          <w:szCs w:val="24"/>
        </w:rPr>
      </w:pPr>
      <w:r w:rsidRPr="009C6DFA">
        <w:rPr>
          <w:rFonts w:ascii="Garamond" w:hAnsi="Garamond"/>
          <w:sz w:val="24"/>
          <w:szCs w:val="24"/>
        </w:rPr>
        <w:tab/>
      </w:r>
      <w:r w:rsidRPr="009C6DFA">
        <w:rPr>
          <w:rFonts w:ascii="Garamond" w:hAnsi="Garamond"/>
          <w:sz w:val="24"/>
          <w:szCs w:val="24"/>
        </w:rPr>
        <w:br w:type="page"/>
      </w:r>
    </w:p>
    <w:p w:rsidR="009D4C1A" w:rsidRPr="009C6DFA" w:rsidRDefault="009D4C1A" w:rsidP="009D4C1A">
      <w:pPr>
        <w:rPr>
          <w:rFonts w:ascii="Garamond" w:hAnsi="Garamond"/>
          <w:sz w:val="24"/>
          <w:szCs w:val="24"/>
          <w:u w:val="single"/>
        </w:rPr>
      </w:pPr>
      <w:r w:rsidRPr="009C6DFA">
        <w:rPr>
          <w:rFonts w:ascii="Garamond" w:hAnsi="Garamond"/>
          <w:sz w:val="24"/>
          <w:szCs w:val="24"/>
          <w:u w:val="single"/>
        </w:rPr>
        <w:lastRenderedPageBreak/>
        <w:t xml:space="preserve">Academic Integrity at City Tech </w:t>
      </w:r>
    </w:p>
    <w:p w:rsidR="009D4C1A" w:rsidRPr="009C6DFA" w:rsidRDefault="009D4C1A" w:rsidP="009D4C1A">
      <w:pPr>
        <w:rPr>
          <w:rFonts w:ascii="Garamond" w:hAnsi="Garamond"/>
          <w:sz w:val="24"/>
          <w:szCs w:val="24"/>
        </w:rPr>
      </w:pPr>
      <w:r w:rsidRPr="009C6DFA">
        <w:rPr>
          <w:rFonts w:ascii="Garamond" w:hAnsi="Garamond"/>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 NYCCT statement on academic integrity</w:t>
      </w:r>
    </w:p>
    <w:p w:rsidR="009C6DFA" w:rsidRPr="009C6DFA" w:rsidRDefault="009C6DFA" w:rsidP="009C6DFA">
      <w:pPr>
        <w:pStyle w:val="Default"/>
        <w:rPr>
          <w:u w:val="single"/>
        </w:rPr>
      </w:pPr>
      <w:r w:rsidRPr="009C6DFA">
        <w:rPr>
          <w:u w:val="single"/>
        </w:rPr>
        <w:t>Academic Integrity/Plagiarism</w:t>
      </w:r>
    </w:p>
    <w:p w:rsidR="009D4C1A" w:rsidRDefault="009C6DFA" w:rsidP="009D4C1A">
      <w:pPr>
        <w:pStyle w:val="Default"/>
      </w:pPr>
      <w:r w:rsidRPr="009C6DFA">
        <w:t xml:space="preserve">Any occurrence of academic dishonesty, such as cheating or plagiarism will result a failing grade. In addition, the incidence will be reported to the Academic Integrity Committee. What is academic dishonesty? Academic dishonesty occurs when individuals plagiarize or cheat in the course of their academic work. </w:t>
      </w:r>
      <w:r w:rsidR="009D4C1A">
        <w:t xml:space="preserve"> </w:t>
      </w:r>
    </w:p>
    <w:p w:rsidR="009C6DFA" w:rsidRPr="009C6DFA" w:rsidRDefault="009C6DFA" w:rsidP="009D4C1A">
      <w:pPr>
        <w:pStyle w:val="Default"/>
      </w:pPr>
      <w:r w:rsidRPr="009C6DFA">
        <w:t xml:space="preserve">Plagiarism is the presenting of someone else’s ideas without proper credit or attribution. These ideas could come from: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1. Information obtained from books, journals or other printed sources.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2. The work of other students or of faculty.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3. Information from the Internet.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4. Software programs or other electronic material.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5. </w:t>
      </w:r>
      <w:r w:rsidR="009D4C1A">
        <w:rPr>
          <w:rFonts w:ascii="Garamond" w:hAnsi="Garamond"/>
          <w:sz w:val="24"/>
          <w:szCs w:val="24"/>
        </w:rPr>
        <w:t xml:space="preserve"> </w:t>
      </w:r>
      <w:r w:rsidRPr="009D4C1A">
        <w:rPr>
          <w:rFonts w:ascii="Garamond" w:hAnsi="Garamond"/>
          <w:sz w:val="24"/>
          <w:szCs w:val="24"/>
        </w:rPr>
        <w:t xml:space="preserve">Designs produced by other students or faculty. Cheating is the unauthorized use or attempted use of material, information, notes, study aids, devices or communication during an academic exercise. </w:t>
      </w:r>
    </w:p>
    <w:p w:rsidR="009C6DFA" w:rsidRPr="009D4C1A" w:rsidRDefault="009C6DFA" w:rsidP="009D4C1A">
      <w:pPr>
        <w:spacing w:after="0"/>
        <w:rPr>
          <w:rFonts w:ascii="Garamond" w:hAnsi="Garamond"/>
          <w:sz w:val="24"/>
          <w:szCs w:val="24"/>
        </w:rPr>
      </w:pPr>
      <w:r w:rsidRPr="009D4C1A">
        <w:rPr>
          <w:rFonts w:ascii="Garamond" w:hAnsi="Garamond"/>
          <w:sz w:val="24"/>
          <w:szCs w:val="24"/>
        </w:rPr>
        <w:t xml:space="preserve">Examples of cheating include: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1. Copying from another student during an examination or allowing another to copy your work.</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2. Unauthorized collaboration on a take-home assignment or examination.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3. Using notes during a closed-book examination.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4. Taking an examination for another student, or asking or allowing another student to take an examination for you.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5. Changing a graded exam and returning it for more credit.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6. Submitting substantial portions of the same paper to more than one course without consulting each instructor.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7. Preparing answers or writing notes in an exam manual before an examination.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8. Allowing others to research and write assigned papers or do assigned projects, including the use of commercial term paper services.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9. Giving assistance to acts of academic misconduct/dishonesty.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10. Fabricating data (in whole or in part). </w:t>
      </w:r>
    </w:p>
    <w:p w:rsidR="009C6DFA" w:rsidRPr="009D4C1A" w:rsidRDefault="009C6DFA" w:rsidP="009D4C1A">
      <w:pPr>
        <w:spacing w:after="0"/>
        <w:ind w:left="720"/>
        <w:rPr>
          <w:rFonts w:ascii="Garamond" w:hAnsi="Garamond"/>
          <w:sz w:val="24"/>
          <w:szCs w:val="24"/>
        </w:rPr>
      </w:pPr>
      <w:r w:rsidRPr="009D4C1A">
        <w:rPr>
          <w:rFonts w:ascii="Garamond" w:hAnsi="Garamond"/>
          <w:sz w:val="24"/>
          <w:szCs w:val="24"/>
        </w:rPr>
        <w:t xml:space="preserve">11. Falsifying data (in whole or in part). </w:t>
      </w:r>
    </w:p>
    <w:p w:rsidR="009C6DFA" w:rsidRDefault="009C6DFA" w:rsidP="009D4C1A">
      <w:pPr>
        <w:spacing w:after="0"/>
        <w:ind w:left="720"/>
        <w:rPr>
          <w:rFonts w:ascii="Garamond" w:hAnsi="Garamond"/>
          <w:sz w:val="24"/>
          <w:szCs w:val="24"/>
        </w:rPr>
      </w:pPr>
      <w:r w:rsidRPr="009D4C1A">
        <w:rPr>
          <w:rFonts w:ascii="Garamond" w:hAnsi="Garamond"/>
          <w:sz w:val="24"/>
          <w:szCs w:val="24"/>
        </w:rPr>
        <w:t>12. Unauthorized use during an examination of electronic or wireless, handheld devices, including computers or other technologies to retrieve or send information during an exam.</w:t>
      </w:r>
    </w:p>
    <w:p w:rsidR="00A66DCA" w:rsidRPr="009D4C1A" w:rsidRDefault="00A66DCA" w:rsidP="009D4C1A">
      <w:pPr>
        <w:spacing w:after="0"/>
        <w:ind w:left="720"/>
        <w:rPr>
          <w:rFonts w:ascii="Garamond" w:hAnsi="Garamond"/>
          <w:sz w:val="24"/>
          <w:szCs w:val="24"/>
        </w:rPr>
      </w:pPr>
    </w:p>
    <w:p w:rsidR="00A66DCA" w:rsidRPr="009C6DFA" w:rsidRDefault="00A66DCA" w:rsidP="00A66DCA">
      <w:pPr>
        <w:ind w:left="720"/>
        <w:jc w:val="center"/>
        <w:rPr>
          <w:rFonts w:ascii="Garamond" w:hAnsi="Garamond"/>
          <w:sz w:val="24"/>
          <w:szCs w:val="24"/>
        </w:rPr>
      </w:pPr>
      <w:r w:rsidRPr="009C6DFA">
        <w:rPr>
          <w:rFonts w:ascii="Garamond" w:hAnsi="Garamond"/>
          <w:b/>
          <w:bCs/>
          <w:sz w:val="24"/>
          <w:szCs w:val="24"/>
        </w:rPr>
        <w:lastRenderedPageBreak/>
        <w:t>Course Outline</w:t>
      </w:r>
    </w:p>
    <w:p w:rsidR="00A66DCA" w:rsidRPr="009C6DFA" w:rsidRDefault="00A66DCA" w:rsidP="00A66DCA">
      <w:pPr>
        <w:ind w:left="720"/>
        <w:jc w:val="center"/>
        <w:rPr>
          <w:rFonts w:ascii="Garamond" w:hAnsi="Garamond"/>
          <w:sz w:val="24"/>
          <w:szCs w:val="24"/>
        </w:rPr>
      </w:pPr>
      <w:r w:rsidRPr="009C6DFA">
        <w:rPr>
          <w:rFonts w:ascii="Garamond" w:hAnsi="Garamond"/>
          <w:sz w:val="24"/>
          <w:szCs w:val="24"/>
        </w:rPr>
        <w:t>This course outline and the dates established therein may be subject to change at discretion of the instructor.</w:t>
      </w:r>
    </w:p>
    <w:p w:rsidR="009C6DFA" w:rsidRPr="00F4623E" w:rsidRDefault="00A66DCA" w:rsidP="00A66DCA">
      <w:pPr>
        <w:ind w:left="720"/>
        <w:rPr>
          <w:rFonts w:ascii="Garamond" w:hAnsi="Garamond"/>
          <w:szCs w:val="24"/>
        </w:rPr>
      </w:pPr>
      <w:r w:rsidRPr="00F4623E">
        <w:rPr>
          <w:rFonts w:ascii="Garamond" w:hAnsi="Garamond"/>
          <w:szCs w:val="24"/>
        </w:rPr>
        <w:t>* indicates brief 1-10 item quiz immediately following the reading</w:t>
      </w:r>
      <w:r w:rsidR="00F4623E">
        <w:rPr>
          <w:rFonts w:ascii="Garamond" w:hAnsi="Garamond"/>
          <w:szCs w:val="24"/>
        </w:rPr>
        <w:t>: 10% of course grade</w:t>
      </w:r>
    </w:p>
    <w:tbl>
      <w:tblPr>
        <w:tblStyle w:val="TableGrid"/>
        <w:tblpPr w:leftFromText="180" w:rightFromText="180" w:vertAnchor="text" w:horzAnchor="page" w:tblpXSpec="center" w:tblpY="-224"/>
        <w:tblW w:w="9378" w:type="dxa"/>
        <w:tblLook w:val="04A0" w:firstRow="1" w:lastRow="0" w:firstColumn="1" w:lastColumn="0" w:noHBand="0" w:noVBand="1"/>
      </w:tblPr>
      <w:tblGrid>
        <w:gridCol w:w="3038"/>
        <w:gridCol w:w="2560"/>
        <w:gridCol w:w="2160"/>
        <w:gridCol w:w="1620"/>
      </w:tblGrid>
      <w:tr w:rsidR="00A66DCA" w:rsidRPr="00A66DCA" w:rsidTr="005B6837">
        <w:trPr>
          <w:trHeight w:val="470"/>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WEEK</w:t>
            </w:r>
          </w:p>
        </w:tc>
        <w:tc>
          <w:tcPr>
            <w:tcW w:w="2560"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TOPIC</w:t>
            </w:r>
          </w:p>
        </w:tc>
        <w:tc>
          <w:tcPr>
            <w:tcW w:w="2160"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READINGS </w:t>
            </w:r>
          </w:p>
          <w:p w:rsidR="0032538E" w:rsidRPr="00A66DCA" w:rsidRDefault="0032538E" w:rsidP="0032538E">
            <w:pPr>
              <w:spacing w:after="0"/>
              <w:rPr>
                <w:rFonts w:ascii="Garamond" w:hAnsi="Garamond"/>
                <w:b/>
                <w:szCs w:val="24"/>
              </w:rPr>
            </w:pPr>
          </w:p>
        </w:tc>
        <w:tc>
          <w:tcPr>
            <w:tcW w:w="1620" w:type="dxa"/>
          </w:tcPr>
          <w:p w:rsidR="0032538E" w:rsidRPr="00A66DCA" w:rsidRDefault="0032538E" w:rsidP="005B6837">
            <w:pPr>
              <w:spacing w:after="0"/>
              <w:jc w:val="center"/>
              <w:rPr>
                <w:rFonts w:ascii="Garamond" w:hAnsi="Garamond"/>
                <w:b/>
                <w:szCs w:val="24"/>
              </w:rPr>
            </w:pPr>
            <w:r w:rsidRPr="00A66DCA">
              <w:rPr>
                <w:rFonts w:ascii="Garamond" w:hAnsi="Garamond"/>
                <w:b/>
                <w:szCs w:val="24"/>
              </w:rPr>
              <w:t>READING DUE DATES</w:t>
            </w: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Week One:</w:t>
            </w:r>
            <w:r w:rsidRPr="00A66DCA">
              <w:rPr>
                <w:rFonts w:ascii="Garamond" w:hAnsi="Garamond"/>
                <w:szCs w:val="24"/>
              </w:rPr>
              <w:t xml:space="preserve"> 8/31</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Introduction/Course Overview</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Policies</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9/2</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Week Two:</w:t>
            </w:r>
            <w:r w:rsidRPr="00A66DCA">
              <w:rPr>
                <w:rFonts w:ascii="Garamond" w:hAnsi="Garamond"/>
                <w:szCs w:val="24"/>
              </w:rPr>
              <w:t xml:space="preserve"> 9/2; 9/9</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Health Psychology; Research Methods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Intro to Health Psych; The Scientific Method</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9/9*</w:t>
            </w: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Three: </w:t>
            </w:r>
            <w:r w:rsidRPr="00A66DCA">
              <w:rPr>
                <w:rFonts w:ascii="Garamond" w:hAnsi="Garamond"/>
                <w:szCs w:val="24"/>
              </w:rPr>
              <w:t>9/10; 9/16</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Race: Biological and Social Views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Race</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9/16*</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Four: </w:t>
            </w:r>
            <w:r w:rsidRPr="00A66DCA">
              <w:rPr>
                <w:rFonts w:ascii="Garamond" w:hAnsi="Garamond"/>
                <w:szCs w:val="24"/>
              </w:rPr>
              <w:t>9/21; 9/28</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Theories of Health Behavior and Change</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Models for Positive Change</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9/23*</w:t>
            </w:r>
          </w:p>
        </w:tc>
      </w:tr>
      <w:tr w:rsidR="00A66DCA" w:rsidRPr="00A66DCA" w:rsidTr="005B6837">
        <w:trPr>
          <w:trHeight w:val="470"/>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Five: </w:t>
            </w:r>
            <w:r w:rsidRPr="00A66DCA">
              <w:rPr>
                <w:rFonts w:ascii="Garamond" w:hAnsi="Garamond"/>
                <w:szCs w:val="24"/>
              </w:rPr>
              <w:t>9/30; 10/5</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Health, Race, and Social Justice</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Public Health; Global Health; Descriptive Epidemiology</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9/30*</w:t>
            </w: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Six: </w:t>
            </w:r>
            <w:r w:rsidRPr="00A66DCA">
              <w:rPr>
                <w:rFonts w:ascii="Garamond" w:hAnsi="Garamond"/>
                <w:szCs w:val="24"/>
              </w:rPr>
              <w:t>10/7; 10/14</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Stress Responses and Coping Mechanisms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Stress and the Body: Stress and Immunity</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10/7*</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Seven: </w:t>
            </w:r>
            <w:r w:rsidRPr="00A66DCA">
              <w:rPr>
                <w:rFonts w:ascii="Garamond" w:hAnsi="Garamond"/>
                <w:szCs w:val="24"/>
              </w:rPr>
              <w:t>10/19; 10/21</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HIV/AIDS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HIV/AIDS</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10/21</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Eight: </w:t>
            </w:r>
            <w:r w:rsidRPr="00A66DCA">
              <w:rPr>
                <w:rFonts w:ascii="Garamond" w:hAnsi="Garamond"/>
                <w:szCs w:val="24"/>
              </w:rPr>
              <w:t>10/26; 10/28</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Social Class in the U.S.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Stratification- Katherine Carter</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10/28</w:t>
            </w: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Nine: </w:t>
            </w:r>
            <w:r w:rsidRPr="00A66DCA">
              <w:rPr>
                <w:rFonts w:ascii="Garamond" w:hAnsi="Garamond"/>
                <w:szCs w:val="24"/>
              </w:rPr>
              <w:t>11/2; 11/4</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Understanding and Treating Chronic Illness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Experience of Illness</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11/2*</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Ten: </w:t>
            </w:r>
            <w:r w:rsidRPr="00A66DCA">
              <w:rPr>
                <w:rFonts w:ascii="Garamond" w:hAnsi="Garamond"/>
                <w:szCs w:val="24"/>
              </w:rPr>
              <w:t>11/9; 11/11</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Cardiovascular Disease</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Effects of Exercise on the Heart</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11/11*</w:t>
            </w: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Eleven: </w:t>
            </w:r>
            <w:r w:rsidRPr="00A66DCA">
              <w:rPr>
                <w:rFonts w:ascii="Garamond" w:hAnsi="Garamond"/>
                <w:szCs w:val="24"/>
              </w:rPr>
              <w:t>11/16;11/25</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Chronic Pain Disorders</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Fibromyalgia</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11/18</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Twelve: </w:t>
            </w:r>
            <w:r w:rsidRPr="00A66DCA">
              <w:rPr>
                <w:rFonts w:ascii="Garamond" w:hAnsi="Garamond"/>
                <w:szCs w:val="24"/>
              </w:rPr>
              <w:t>11/23; 11/25</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Cancer</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Cancer Overview</w:t>
            </w:r>
          </w:p>
        </w:tc>
        <w:tc>
          <w:tcPr>
            <w:tcW w:w="1620" w:type="dxa"/>
          </w:tcPr>
          <w:p w:rsidR="0032538E" w:rsidRPr="00A66DCA" w:rsidRDefault="0032538E" w:rsidP="005B6837">
            <w:pPr>
              <w:spacing w:after="0"/>
              <w:jc w:val="center"/>
              <w:rPr>
                <w:rFonts w:ascii="Garamond" w:hAnsi="Garamond"/>
                <w:szCs w:val="24"/>
              </w:rPr>
            </w:pPr>
            <w:r w:rsidRPr="00A66DCA">
              <w:rPr>
                <w:rFonts w:ascii="Garamond" w:hAnsi="Garamond"/>
                <w:szCs w:val="24"/>
              </w:rPr>
              <w:t>11/25</w:t>
            </w:r>
          </w:p>
        </w:tc>
      </w:tr>
      <w:tr w:rsidR="00A66DCA" w:rsidRPr="00A66DCA" w:rsidTr="005B6837">
        <w:trPr>
          <w:trHeight w:val="235"/>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Thirteen: </w:t>
            </w:r>
            <w:r w:rsidRPr="00A66DCA">
              <w:rPr>
                <w:rFonts w:ascii="Garamond" w:hAnsi="Garamond"/>
                <w:szCs w:val="24"/>
              </w:rPr>
              <w:t>11/30; 12/2</w:t>
            </w:r>
          </w:p>
        </w:tc>
        <w:tc>
          <w:tcPr>
            <w:tcW w:w="2560" w:type="dxa"/>
          </w:tcPr>
          <w:p w:rsidR="0032538E" w:rsidRPr="00A66DCA" w:rsidRDefault="0032538E" w:rsidP="0032538E">
            <w:pPr>
              <w:spacing w:after="0"/>
              <w:jc w:val="center"/>
              <w:rPr>
                <w:rFonts w:ascii="Garamond" w:hAnsi="Garamond"/>
                <w:szCs w:val="24"/>
              </w:rPr>
            </w:pPr>
            <w:proofErr w:type="spellStart"/>
            <w:r w:rsidRPr="00A66DCA">
              <w:rPr>
                <w:rFonts w:ascii="Garamond" w:hAnsi="Garamond"/>
                <w:szCs w:val="24"/>
              </w:rPr>
              <w:t>LiveWell</w:t>
            </w:r>
            <w:proofErr w:type="spellEnd"/>
            <w:r w:rsidRPr="00A66DCA">
              <w:rPr>
                <w:rFonts w:ascii="Garamond" w:hAnsi="Garamond"/>
                <w:szCs w:val="24"/>
              </w:rPr>
              <w:t xml:space="preserve"> Behavior Program Image Presentations</w:t>
            </w:r>
          </w:p>
        </w:tc>
        <w:tc>
          <w:tcPr>
            <w:tcW w:w="2160" w:type="dxa"/>
          </w:tcPr>
          <w:p w:rsidR="0032538E" w:rsidRPr="00A66DCA" w:rsidRDefault="0032538E" w:rsidP="0032538E">
            <w:pPr>
              <w:spacing w:after="0"/>
              <w:rPr>
                <w:rFonts w:ascii="Garamond" w:hAnsi="Garamond"/>
                <w:szCs w:val="24"/>
              </w:rPr>
            </w:pPr>
          </w:p>
        </w:tc>
        <w:tc>
          <w:tcPr>
            <w:tcW w:w="1620" w:type="dxa"/>
          </w:tcPr>
          <w:p w:rsidR="0032538E" w:rsidRPr="00A66DCA" w:rsidRDefault="0032538E" w:rsidP="005B6837">
            <w:pPr>
              <w:spacing w:after="0"/>
              <w:jc w:val="center"/>
              <w:rPr>
                <w:rFonts w:ascii="Garamond" w:hAnsi="Garamond"/>
                <w:szCs w:val="24"/>
              </w:rPr>
            </w:pPr>
          </w:p>
        </w:tc>
      </w:tr>
      <w:tr w:rsidR="00A66DCA" w:rsidRPr="00A66DCA" w:rsidTr="005B6837">
        <w:trPr>
          <w:trHeight w:val="217"/>
        </w:trPr>
        <w:tc>
          <w:tcPr>
            <w:tcW w:w="3038" w:type="dxa"/>
          </w:tcPr>
          <w:p w:rsidR="0032538E" w:rsidRPr="00A66DCA" w:rsidRDefault="0032538E" w:rsidP="0032538E">
            <w:pPr>
              <w:spacing w:after="0"/>
              <w:jc w:val="center"/>
              <w:rPr>
                <w:rFonts w:ascii="Garamond" w:hAnsi="Garamond"/>
                <w:szCs w:val="24"/>
              </w:rPr>
            </w:pPr>
            <w:r w:rsidRPr="00A66DCA">
              <w:rPr>
                <w:rFonts w:ascii="Garamond" w:hAnsi="Garamond"/>
                <w:b/>
                <w:szCs w:val="24"/>
              </w:rPr>
              <w:t xml:space="preserve">Week Fourteen: </w:t>
            </w:r>
            <w:r w:rsidRPr="00A66DCA">
              <w:rPr>
                <w:rFonts w:ascii="Garamond" w:hAnsi="Garamond"/>
                <w:szCs w:val="24"/>
              </w:rPr>
              <w:t>12/7; 12/9</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Group Poster Presentations</w:t>
            </w:r>
          </w:p>
        </w:tc>
        <w:tc>
          <w:tcPr>
            <w:tcW w:w="2160" w:type="dxa"/>
          </w:tcPr>
          <w:p w:rsidR="0032538E" w:rsidRPr="00A66DCA" w:rsidRDefault="0032538E" w:rsidP="0032538E">
            <w:pPr>
              <w:spacing w:after="0"/>
              <w:rPr>
                <w:rFonts w:ascii="Garamond" w:hAnsi="Garamond"/>
                <w:szCs w:val="24"/>
              </w:rPr>
            </w:pPr>
          </w:p>
        </w:tc>
        <w:tc>
          <w:tcPr>
            <w:tcW w:w="1620" w:type="dxa"/>
          </w:tcPr>
          <w:p w:rsidR="0032538E" w:rsidRPr="00A66DCA" w:rsidRDefault="0032538E" w:rsidP="005B6837">
            <w:pPr>
              <w:spacing w:after="0"/>
              <w:jc w:val="center"/>
              <w:rPr>
                <w:rFonts w:ascii="Garamond" w:hAnsi="Garamond"/>
                <w:szCs w:val="24"/>
              </w:rPr>
            </w:pPr>
          </w:p>
        </w:tc>
      </w:tr>
      <w:tr w:rsidR="00A66DCA" w:rsidRPr="00A66DCA" w:rsidTr="005B6837">
        <w:trPr>
          <w:trHeight w:val="470"/>
        </w:trPr>
        <w:tc>
          <w:tcPr>
            <w:tcW w:w="3038" w:type="dxa"/>
          </w:tcPr>
          <w:p w:rsidR="0032538E" w:rsidRPr="00A66DCA" w:rsidRDefault="0032538E" w:rsidP="0032538E">
            <w:pPr>
              <w:spacing w:after="0"/>
              <w:jc w:val="center"/>
              <w:rPr>
                <w:rFonts w:ascii="Garamond" w:hAnsi="Garamond"/>
                <w:b/>
                <w:szCs w:val="24"/>
              </w:rPr>
            </w:pPr>
            <w:r w:rsidRPr="00A66DCA">
              <w:rPr>
                <w:rFonts w:ascii="Garamond" w:hAnsi="Garamond"/>
                <w:b/>
                <w:szCs w:val="24"/>
              </w:rPr>
              <w:t xml:space="preserve">Week Fifteen: </w:t>
            </w:r>
          </w:p>
          <w:p w:rsidR="0032538E" w:rsidRPr="00A66DCA" w:rsidRDefault="0032538E" w:rsidP="0032538E">
            <w:pPr>
              <w:spacing w:after="0"/>
              <w:jc w:val="center"/>
              <w:rPr>
                <w:rFonts w:ascii="Garamond" w:hAnsi="Garamond"/>
                <w:szCs w:val="24"/>
              </w:rPr>
            </w:pPr>
            <w:r w:rsidRPr="00A66DCA">
              <w:rPr>
                <w:rFonts w:ascii="Garamond" w:hAnsi="Garamond"/>
                <w:szCs w:val="24"/>
              </w:rPr>
              <w:t>FINAL 12/14/15</w:t>
            </w:r>
          </w:p>
        </w:tc>
        <w:tc>
          <w:tcPr>
            <w:tcW w:w="2560" w:type="dxa"/>
          </w:tcPr>
          <w:p w:rsidR="0032538E" w:rsidRPr="00A66DCA" w:rsidRDefault="0032538E" w:rsidP="0032538E">
            <w:pPr>
              <w:spacing w:after="0"/>
              <w:jc w:val="center"/>
              <w:rPr>
                <w:rFonts w:ascii="Garamond" w:hAnsi="Garamond"/>
                <w:szCs w:val="24"/>
              </w:rPr>
            </w:pPr>
            <w:r w:rsidRPr="00A66DCA">
              <w:rPr>
                <w:rFonts w:ascii="Garamond" w:hAnsi="Garamond"/>
                <w:szCs w:val="24"/>
              </w:rPr>
              <w:t>Self-Reflection of Critical Race Paper and Course</w:t>
            </w:r>
          </w:p>
        </w:tc>
        <w:tc>
          <w:tcPr>
            <w:tcW w:w="2160" w:type="dxa"/>
          </w:tcPr>
          <w:p w:rsidR="0032538E" w:rsidRPr="00A66DCA" w:rsidRDefault="0032538E" w:rsidP="0032538E">
            <w:pPr>
              <w:spacing w:after="0"/>
              <w:rPr>
                <w:rFonts w:ascii="Garamond" w:hAnsi="Garamond"/>
                <w:szCs w:val="24"/>
              </w:rPr>
            </w:pPr>
            <w:r w:rsidRPr="00A66DCA">
              <w:rPr>
                <w:rFonts w:ascii="Garamond" w:hAnsi="Garamond"/>
                <w:szCs w:val="24"/>
              </w:rPr>
              <w:t>Review film transcripts and notes</w:t>
            </w:r>
          </w:p>
        </w:tc>
        <w:tc>
          <w:tcPr>
            <w:tcW w:w="1620" w:type="dxa"/>
          </w:tcPr>
          <w:p w:rsidR="0032538E" w:rsidRPr="00A66DCA" w:rsidRDefault="0032538E" w:rsidP="005B6837">
            <w:pPr>
              <w:spacing w:after="0"/>
              <w:jc w:val="center"/>
              <w:rPr>
                <w:rFonts w:ascii="Garamond" w:hAnsi="Garamond"/>
                <w:szCs w:val="24"/>
              </w:rPr>
            </w:pPr>
          </w:p>
        </w:tc>
      </w:tr>
    </w:tbl>
    <w:p w:rsidR="009C6DFA" w:rsidRPr="009C6DFA" w:rsidRDefault="009C6DFA" w:rsidP="00B56E0F">
      <w:pPr>
        <w:rPr>
          <w:rFonts w:ascii="Garamond" w:hAnsi="Garamond"/>
          <w:sz w:val="24"/>
          <w:szCs w:val="24"/>
        </w:rPr>
      </w:pPr>
    </w:p>
    <w:p w:rsidR="005B6837" w:rsidRDefault="005B6837" w:rsidP="00A66DCA">
      <w:pPr>
        <w:jc w:val="center"/>
        <w:rPr>
          <w:rFonts w:ascii="Garamond" w:hAnsi="Garamond"/>
          <w:b/>
          <w:sz w:val="24"/>
          <w:szCs w:val="24"/>
        </w:rPr>
      </w:pPr>
    </w:p>
    <w:p w:rsidR="005B6837" w:rsidRDefault="005B6837" w:rsidP="00A66DCA">
      <w:pPr>
        <w:jc w:val="center"/>
        <w:rPr>
          <w:rFonts w:ascii="Garamond" w:hAnsi="Garamond"/>
          <w:b/>
          <w:sz w:val="24"/>
          <w:szCs w:val="24"/>
        </w:rPr>
      </w:pPr>
    </w:p>
    <w:p w:rsidR="005B6837" w:rsidRDefault="005B6837" w:rsidP="00A66DCA">
      <w:pPr>
        <w:jc w:val="center"/>
        <w:rPr>
          <w:rFonts w:ascii="Garamond" w:hAnsi="Garamond"/>
          <w:b/>
          <w:sz w:val="24"/>
          <w:szCs w:val="24"/>
        </w:rPr>
      </w:pPr>
    </w:p>
    <w:p w:rsidR="005B6837" w:rsidRDefault="005B6837" w:rsidP="00A66DCA">
      <w:pPr>
        <w:jc w:val="center"/>
        <w:rPr>
          <w:rFonts w:ascii="Garamond" w:hAnsi="Garamond"/>
          <w:b/>
          <w:sz w:val="24"/>
          <w:szCs w:val="24"/>
        </w:rPr>
      </w:pPr>
    </w:p>
    <w:p w:rsidR="005B6837" w:rsidRDefault="005B6837" w:rsidP="00A66DCA">
      <w:pPr>
        <w:jc w:val="center"/>
        <w:rPr>
          <w:rFonts w:ascii="Garamond" w:hAnsi="Garamond"/>
          <w:b/>
          <w:sz w:val="24"/>
          <w:szCs w:val="24"/>
        </w:rPr>
      </w:pPr>
    </w:p>
    <w:p w:rsidR="00CC0957" w:rsidRPr="005B6837" w:rsidRDefault="005B6837" w:rsidP="005B6837">
      <w:pPr>
        <w:spacing w:after="0"/>
        <w:jc w:val="center"/>
        <w:rPr>
          <w:rFonts w:ascii="Garamond" w:hAnsi="Garamond"/>
          <w:b/>
          <w:sz w:val="24"/>
          <w:szCs w:val="24"/>
          <w:u w:val="single"/>
        </w:rPr>
      </w:pPr>
      <w:r w:rsidRPr="005B6837">
        <w:rPr>
          <w:rFonts w:ascii="Garamond" w:hAnsi="Garamond"/>
          <w:b/>
          <w:sz w:val="24"/>
          <w:szCs w:val="24"/>
          <w:u w:val="single"/>
        </w:rPr>
        <w:lastRenderedPageBreak/>
        <w:t>Assignment Due Dates</w:t>
      </w:r>
    </w:p>
    <w:p w:rsidR="005B6837" w:rsidRDefault="005B6837" w:rsidP="005B6837">
      <w:pPr>
        <w:spacing w:after="0"/>
        <w:jc w:val="center"/>
        <w:rPr>
          <w:rFonts w:ascii="Garamond" w:hAnsi="Garamond"/>
          <w:b/>
          <w:sz w:val="24"/>
          <w:szCs w:val="24"/>
        </w:rPr>
      </w:pPr>
      <w:r>
        <w:rPr>
          <w:rFonts w:ascii="Garamond" w:hAnsi="Garamond"/>
          <w:b/>
          <w:sz w:val="24"/>
          <w:szCs w:val="24"/>
        </w:rPr>
        <w:t>(Late assignments will not be accepted unless at the discretion of the professor for ½ credit)</w:t>
      </w:r>
    </w:p>
    <w:tbl>
      <w:tblPr>
        <w:tblStyle w:val="TableGrid"/>
        <w:tblW w:w="0" w:type="auto"/>
        <w:tblLook w:val="04A0" w:firstRow="1" w:lastRow="0" w:firstColumn="1" w:lastColumn="0" w:noHBand="0" w:noVBand="1"/>
      </w:tblPr>
      <w:tblGrid>
        <w:gridCol w:w="4788"/>
        <w:gridCol w:w="4788"/>
      </w:tblGrid>
      <w:tr w:rsidR="00F4623E" w:rsidTr="00F4623E">
        <w:tc>
          <w:tcPr>
            <w:tcW w:w="4788" w:type="dxa"/>
          </w:tcPr>
          <w:p w:rsidR="00F4623E" w:rsidRPr="00F4623E" w:rsidRDefault="00F4623E" w:rsidP="00A66DCA">
            <w:pPr>
              <w:jc w:val="center"/>
              <w:rPr>
                <w:rFonts w:ascii="Garamond" w:hAnsi="Garamond"/>
                <w:sz w:val="24"/>
                <w:szCs w:val="24"/>
              </w:rPr>
            </w:pPr>
            <w:r w:rsidRPr="00F4623E">
              <w:rPr>
                <w:rFonts w:ascii="Garamond" w:hAnsi="Garamond"/>
                <w:color w:val="FF0000"/>
                <w:sz w:val="24"/>
                <w:szCs w:val="24"/>
              </w:rPr>
              <w:t>Policy Responses</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9/2/15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Pre-Viewing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9/16/15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Post-Viewing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9/19/15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Tuskegee Assignment</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9/28/15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Pre-Viewing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10/5/15</w:t>
            </w:r>
          </w:p>
        </w:tc>
      </w:tr>
      <w:tr w:rsidR="00F4623E" w:rsidTr="00F4623E">
        <w:tc>
          <w:tcPr>
            <w:tcW w:w="4788" w:type="dxa"/>
          </w:tcPr>
          <w:p w:rsidR="00F4623E" w:rsidRPr="00F4623E" w:rsidRDefault="00F4623E" w:rsidP="00F4623E">
            <w:pPr>
              <w:jc w:val="center"/>
              <w:rPr>
                <w:rFonts w:ascii="Garamond" w:hAnsi="Garamond"/>
                <w:color w:val="FF0000"/>
                <w:sz w:val="24"/>
                <w:szCs w:val="24"/>
              </w:rPr>
            </w:pPr>
            <w:r w:rsidRPr="00F4623E">
              <w:rPr>
                <w:rFonts w:ascii="Garamond" w:hAnsi="Garamond"/>
                <w:color w:val="FF0000"/>
                <w:sz w:val="24"/>
                <w:szCs w:val="24"/>
              </w:rPr>
              <w:t>Post-Viewing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10/7/15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Pre-Viewing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10/14/15</w:t>
            </w:r>
          </w:p>
        </w:tc>
      </w:tr>
      <w:tr w:rsidR="00F4623E" w:rsidTr="00F4623E">
        <w:tc>
          <w:tcPr>
            <w:tcW w:w="4788" w:type="dxa"/>
          </w:tcPr>
          <w:p w:rsidR="00F4623E" w:rsidRPr="00F4623E" w:rsidRDefault="00F4623E" w:rsidP="00A66DCA">
            <w:pPr>
              <w:jc w:val="center"/>
              <w:rPr>
                <w:rFonts w:ascii="Garamond" w:hAnsi="Garamond"/>
                <w:color w:val="FF0000"/>
                <w:sz w:val="24"/>
                <w:szCs w:val="24"/>
              </w:rPr>
            </w:pPr>
            <w:r w:rsidRPr="00F4623E">
              <w:rPr>
                <w:rFonts w:ascii="Garamond" w:hAnsi="Garamond"/>
                <w:color w:val="FF0000"/>
                <w:sz w:val="24"/>
                <w:szCs w:val="24"/>
              </w:rPr>
              <w:t>Post-Viewing Activity</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10/16/15</w:t>
            </w:r>
          </w:p>
        </w:tc>
      </w:tr>
      <w:tr w:rsidR="00F4623E" w:rsidTr="00F4623E">
        <w:tc>
          <w:tcPr>
            <w:tcW w:w="4788" w:type="dxa"/>
          </w:tcPr>
          <w:p w:rsidR="00F4623E" w:rsidRDefault="00F4623E" w:rsidP="00F4623E">
            <w:pPr>
              <w:jc w:val="center"/>
              <w:rPr>
                <w:rFonts w:ascii="Garamond" w:hAnsi="Garamond"/>
                <w:sz w:val="24"/>
                <w:szCs w:val="24"/>
              </w:rPr>
            </w:pPr>
            <w:r w:rsidRPr="00F4623E">
              <w:rPr>
                <w:rFonts w:ascii="Garamond" w:hAnsi="Garamond"/>
                <w:color w:val="00B050"/>
                <w:sz w:val="24"/>
                <w:szCs w:val="24"/>
              </w:rPr>
              <w:t>In-Class Group Worksheet</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10/19/15</w:t>
            </w:r>
          </w:p>
        </w:tc>
      </w:tr>
      <w:tr w:rsidR="00F4623E" w:rsidTr="00F4623E">
        <w:tc>
          <w:tcPr>
            <w:tcW w:w="4788" w:type="dxa"/>
          </w:tcPr>
          <w:p w:rsidR="00F4623E" w:rsidRDefault="00F4623E" w:rsidP="00F4623E">
            <w:pPr>
              <w:jc w:val="center"/>
              <w:rPr>
                <w:rFonts w:ascii="Garamond" w:hAnsi="Garamond"/>
                <w:sz w:val="24"/>
                <w:szCs w:val="24"/>
              </w:rPr>
            </w:pPr>
            <w:r w:rsidRPr="00F4623E">
              <w:rPr>
                <w:rFonts w:ascii="Garamond" w:hAnsi="Garamond"/>
                <w:color w:val="E36C0A" w:themeColor="accent6" w:themeShade="BF"/>
                <w:sz w:val="24"/>
                <w:szCs w:val="24"/>
              </w:rPr>
              <w:t>I’M POSITIVE PAPER</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10/21/15</w:t>
            </w:r>
          </w:p>
        </w:tc>
      </w:tr>
      <w:tr w:rsidR="00F4623E" w:rsidTr="00F4623E">
        <w:tc>
          <w:tcPr>
            <w:tcW w:w="4788" w:type="dxa"/>
          </w:tcPr>
          <w:p w:rsidR="00F4623E" w:rsidRPr="00F4623E" w:rsidRDefault="00F4623E" w:rsidP="00F4623E">
            <w:pPr>
              <w:jc w:val="center"/>
              <w:rPr>
                <w:rFonts w:ascii="Garamond" w:hAnsi="Garamond"/>
                <w:color w:val="FF0000"/>
                <w:sz w:val="24"/>
                <w:szCs w:val="24"/>
              </w:rPr>
            </w:pPr>
            <w:r w:rsidRPr="00F4623E">
              <w:rPr>
                <w:rFonts w:ascii="Garamond" w:hAnsi="Garamond"/>
                <w:color w:val="FF0000"/>
                <w:sz w:val="24"/>
                <w:szCs w:val="24"/>
              </w:rPr>
              <w:t>Pre-Viewing Activity</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10/26/15</w:t>
            </w:r>
          </w:p>
        </w:tc>
      </w:tr>
      <w:tr w:rsidR="00F4623E" w:rsidTr="00F4623E">
        <w:tc>
          <w:tcPr>
            <w:tcW w:w="4788" w:type="dxa"/>
          </w:tcPr>
          <w:p w:rsidR="00F4623E" w:rsidRPr="00F4623E" w:rsidRDefault="00F4623E" w:rsidP="00F4623E">
            <w:pPr>
              <w:jc w:val="center"/>
              <w:rPr>
                <w:rFonts w:ascii="Garamond" w:hAnsi="Garamond"/>
                <w:color w:val="FF0000"/>
                <w:sz w:val="24"/>
                <w:szCs w:val="24"/>
              </w:rPr>
            </w:pPr>
            <w:r w:rsidRPr="00F4623E">
              <w:rPr>
                <w:rFonts w:ascii="Garamond" w:hAnsi="Garamond"/>
                <w:color w:val="FF0000"/>
                <w:sz w:val="24"/>
                <w:szCs w:val="24"/>
              </w:rPr>
              <w:t>Pre-Viewing Activity</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10/28/15</w:t>
            </w:r>
          </w:p>
        </w:tc>
      </w:tr>
      <w:tr w:rsidR="00F4623E" w:rsidTr="00F4623E">
        <w:tc>
          <w:tcPr>
            <w:tcW w:w="4788" w:type="dxa"/>
          </w:tcPr>
          <w:p w:rsidR="00F4623E" w:rsidRPr="00F4623E" w:rsidRDefault="00F4623E" w:rsidP="00F4623E">
            <w:pPr>
              <w:jc w:val="center"/>
              <w:rPr>
                <w:rFonts w:ascii="Garamond" w:hAnsi="Garamond"/>
                <w:sz w:val="24"/>
                <w:szCs w:val="24"/>
              </w:rPr>
            </w:pPr>
            <w:r w:rsidRPr="00F4623E">
              <w:rPr>
                <w:rFonts w:ascii="Garamond" w:hAnsi="Garamond"/>
                <w:b/>
                <w:color w:val="FF0000"/>
                <w:sz w:val="24"/>
                <w:szCs w:val="24"/>
              </w:rPr>
              <w:t>2</w:t>
            </w:r>
            <w:r w:rsidRPr="00F4623E">
              <w:rPr>
                <w:rFonts w:ascii="Garamond" w:hAnsi="Garamond"/>
                <w:color w:val="FF0000"/>
                <w:sz w:val="24"/>
                <w:szCs w:val="24"/>
              </w:rPr>
              <w:t xml:space="preserve"> Post-Viewing Activities</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10/30/15</w:t>
            </w:r>
          </w:p>
        </w:tc>
      </w:tr>
      <w:tr w:rsidR="00F4623E" w:rsidTr="00F4623E">
        <w:tc>
          <w:tcPr>
            <w:tcW w:w="4788" w:type="dxa"/>
          </w:tcPr>
          <w:p w:rsidR="00F4623E" w:rsidRPr="00F4623E" w:rsidRDefault="00F4623E" w:rsidP="00F4623E">
            <w:pPr>
              <w:jc w:val="center"/>
              <w:rPr>
                <w:rFonts w:ascii="Garamond" w:hAnsi="Garamond"/>
                <w:color w:val="E36C0A" w:themeColor="accent6" w:themeShade="BF"/>
                <w:sz w:val="24"/>
                <w:szCs w:val="24"/>
              </w:rPr>
            </w:pPr>
            <w:r w:rsidRPr="00F4623E">
              <w:rPr>
                <w:rFonts w:ascii="Garamond" w:hAnsi="Garamond"/>
                <w:color w:val="E36C0A" w:themeColor="accent6" w:themeShade="BF"/>
                <w:sz w:val="24"/>
                <w:szCs w:val="24"/>
              </w:rPr>
              <w:t>INDIVIDUAL ARTICLE CRITIQUE</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11/4/15</w:t>
            </w:r>
          </w:p>
        </w:tc>
      </w:tr>
      <w:tr w:rsidR="00F4623E" w:rsidTr="00F4623E">
        <w:tc>
          <w:tcPr>
            <w:tcW w:w="4788" w:type="dxa"/>
          </w:tcPr>
          <w:p w:rsidR="00F4623E" w:rsidRPr="00F4623E" w:rsidRDefault="00F4623E" w:rsidP="00F4623E">
            <w:pPr>
              <w:jc w:val="center"/>
              <w:rPr>
                <w:rFonts w:ascii="Garamond" w:hAnsi="Garamond"/>
                <w:color w:val="E36C0A" w:themeColor="accent6" w:themeShade="BF"/>
                <w:sz w:val="24"/>
                <w:szCs w:val="24"/>
              </w:rPr>
            </w:pPr>
            <w:r w:rsidRPr="00F4623E">
              <w:rPr>
                <w:rFonts w:ascii="Garamond" w:hAnsi="Garamond"/>
                <w:color w:val="E36C0A" w:themeColor="accent6" w:themeShade="BF"/>
                <w:sz w:val="24"/>
                <w:szCs w:val="24"/>
              </w:rPr>
              <w:t>CRITICAL RACE PAPER</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11/25/15</w:t>
            </w:r>
          </w:p>
        </w:tc>
      </w:tr>
      <w:tr w:rsidR="00F4623E" w:rsidTr="00F4623E">
        <w:tc>
          <w:tcPr>
            <w:tcW w:w="4788" w:type="dxa"/>
          </w:tcPr>
          <w:p w:rsidR="00F4623E" w:rsidRDefault="00F4623E" w:rsidP="00F4623E">
            <w:pPr>
              <w:jc w:val="center"/>
              <w:rPr>
                <w:rFonts w:ascii="Garamond" w:hAnsi="Garamond"/>
                <w:sz w:val="24"/>
                <w:szCs w:val="24"/>
              </w:rPr>
            </w:pPr>
            <w:proofErr w:type="spellStart"/>
            <w:r w:rsidRPr="00F4623E">
              <w:rPr>
                <w:rFonts w:ascii="Garamond" w:hAnsi="Garamond"/>
                <w:color w:val="1F497D" w:themeColor="text2"/>
                <w:sz w:val="24"/>
                <w:szCs w:val="24"/>
              </w:rPr>
              <w:t>LiveWell</w:t>
            </w:r>
            <w:proofErr w:type="spellEnd"/>
            <w:r w:rsidRPr="00F4623E">
              <w:rPr>
                <w:rFonts w:ascii="Garamond" w:hAnsi="Garamond"/>
                <w:color w:val="1F497D" w:themeColor="text2"/>
                <w:sz w:val="24"/>
                <w:szCs w:val="24"/>
              </w:rPr>
              <w:t xml:space="preserve"> Completion/Image Presentation</w:t>
            </w:r>
          </w:p>
        </w:tc>
        <w:tc>
          <w:tcPr>
            <w:tcW w:w="4788" w:type="dxa"/>
          </w:tcPr>
          <w:p w:rsidR="00F4623E" w:rsidRDefault="00F4623E" w:rsidP="00F4623E">
            <w:pPr>
              <w:jc w:val="center"/>
              <w:rPr>
                <w:rFonts w:ascii="Garamond" w:hAnsi="Garamond"/>
                <w:b/>
                <w:sz w:val="24"/>
                <w:szCs w:val="24"/>
              </w:rPr>
            </w:pPr>
            <w:r>
              <w:rPr>
                <w:rFonts w:ascii="Garamond" w:hAnsi="Garamond"/>
                <w:b/>
                <w:sz w:val="24"/>
                <w:szCs w:val="24"/>
              </w:rPr>
              <w:t>12/2/15</w:t>
            </w:r>
          </w:p>
        </w:tc>
      </w:tr>
      <w:tr w:rsidR="00F4623E" w:rsidTr="00F4623E">
        <w:tc>
          <w:tcPr>
            <w:tcW w:w="4788" w:type="dxa"/>
          </w:tcPr>
          <w:p w:rsidR="00F4623E" w:rsidRDefault="00F4623E" w:rsidP="00A66DCA">
            <w:pPr>
              <w:jc w:val="center"/>
              <w:rPr>
                <w:rFonts w:ascii="Garamond" w:hAnsi="Garamond"/>
                <w:sz w:val="24"/>
                <w:szCs w:val="24"/>
              </w:rPr>
            </w:pPr>
            <w:r w:rsidRPr="00F4623E">
              <w:rPr>
                <w:rFonts w:ascii="Garamond" w:hAnsi="Garamond"/>
                <w:color w:val="00B050"/>
                <w:sz w:val="24"/>
                <w:szCs w:val="24"/>
              </w:rPr>
              <w:t>Group Poster Presentation</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12/7/15</w:t>
            </w:r>
          </w:p>
        </w:tc>
      </w:tr>
      <w:tr w:rsidR="00F4623E" w:rsidTr="00F4623E">
        <w:tc>
          <w:tcPr>
            <w:tcW w:w="4788" w:type="dxa"/>
          </w:tcPr>
          <w:p w:rsidR="00F4623E" w:rsidRDefault="00F4623E" w:rsidP="00A66DCA">
            <w:pPr>
              <w:jc w:val="center"/>
              <w:rPr>
                <w:rFonts w:ascii="Garamond" w:hAnsi="Garamond"/>
                <w:sz w:val="24"/>
                <w:szCs w:val="24"/>
              </w:rPr>
            </w:pPr>
            <w:r>
              <w:rPr>
                <w:rFonts w:ascii="Garamond" w:hAnsi="Garamond"/>
                <w:sz w:val="24"/>
                <w:szCs w:val="24"/>
              </w:rPr>
              <w:t>FINAL- Self-Reflection</w:t>
            </w:r>
          </w:p>
        </w:tc>
        <w:tc>
          <w:tcPr>
            <w:tcW w:w="4788" w:type="dxa"/>
          </w:tcPr>
          <w:p w:rsidR="00F4623E" w:rsidRDefault="00F4623E" w:rsidP="00A66DCA">
            <w:pPr>
              <w:jc w:val="center"/>
              <w:rPr>
                <w:rFonts w:ascii="Garamond" w:hAnsi="Garamond"/>
                <w:b/>
                <w:sz w:val="24"/>
                <w:szCs w:val="24"/>
              </w:rPr>
            </w:pPr>
            <w:r>
              <w:rPr>
                <w:rFonts w:ascii="Garamond" w:hAnsi="Garamond"/>
                <w:b/>
                <w:sz w:val="24"/>
                <w:szCs w:val="24"/>
              </w:rPr>
              <w:t>12/14/15</w:t>
            </w:r>
          </w:p>
        </w:tc>
      </w:tr>
    </w:tbl>
    <w:p w:rsidR="00F4623E" w:rsidRPr="00F4623E" w:rsidRDefault="00F4623E" w:rsidP="005B6837">
      <w:pPr>
        <w:spacing w:after="0"/>
        <w:jc w:val="center"/>
        <w:rPr>
          <w:rFonts w:ascii="Garamond" w:hAnsi="Garamond"/>
          <w:bCs/>
          <w:color w:val="FF0000"/>
        </w:rPr>
      </w:pPr>
      <w:r w:rsidRPr="00F4623E">
        <w:rPr>
          <w:rFonts w:ascii="Garamond" w:hAnsi="Garamond"/>
          <w:bCs/>
          <w:color w:val="FF0000"/>
        </w:rPr>
        <w:t>Online Work</w:t>
      </w:r>
      <w:r>
        <w:rPr>
          <w:rFonts w:ascii="Garamond" w:hAnsi="Garamond"/>
          <w:bCs/>
          <w:color w:val="FF0000"/>
        </w:rPr>
        <w:t>: 15% of course grade</w:t>
      </w:r>
    </w:p>
    <w:p w:rsidR="00F4623E" w:rsidRPr="00F4623E" w:rsidRDefault="00F4623E" w:rsidP="005B6837">
      <w:pPr>
        <w:spacing w:after="0"/>
        <w:jc w:val="center"/>
        <w:rPr>
          <w:rFonts w:ascii="Garamond" w:hAnsi="Garamond"/>
          <w:bCs/>
          <w:color w:val="323232"/>
        </w:rPr>
      </w:pPr>
      <w:proofErr w:type="spellStart"/>
      <w:r w:rsidRPr="00F4623E">
        <w:rPr>
          <w:rFonts w:ascii="Garamond" w:hAnsi="Garamond"/>
          <w:bCs/>
          <w:color w:val="1F497D" w:themeColor="text2"/>
        </w:rPr>
        <w:t>Prochange</w:t>
      </w:r>
      <w:proofErr w:type="spellEnd"/>
      <w:r w:rsidRPr="00F4623E">
        <w:rPr>
          <w:rFonts w:ascii="Garamond" w:hAnsi="Garamond"/>
          <w:bCs/>
          <w:color w:val="1F497D" w:themeColor="text2"/>
        </w:rPr>
        <w:t xml:space="preserve"> </w:t>
      </w:r>
      <w:proofErr w:type="spellStart"/>
      <w:r w:rsidRPr="00F4623E">
        <w:rPr>
          <w:rFonts w:ascii="Garamond" w:hAnsi="Garamond"/>
          <w:bCs/>
          <w:color w:val="1F497D" w:themeColor="text2"/>
        </w:rPr>
        <w:t>Livewell</w:t>
      </w:r>
      <w:proofErr w:type="spellEnd"/>
      <w:r w:rsidRPr="00F4623E">
        <w:rPr>
          <w:rFonts w:ascii="Garamond" w:hAnsi="Garamond"/>
          <w:bCs/>
          <w:color w:val="1F497D" w:themeColor="text2"/>
        </w:rPr>
        <w:t xml:space="preserve"> Behavior Program for College Students</w:t>
      </w:r>
      <w:r>
        <w:rPr>
          <w:rFonts w:ascii="Garamond" w:hAnsi="Garamond"/>
          <w:bCs/>
          <w:color w:val="1F497D" w:themeColor="text2"/>
        </w:rPr>
        <w:t>: 10% of course grade</w:t>
      </w:r>
    </w:p>
    <w:p w:rsidR="00A66DCA" w:rsidRPr="00F4623E" w:rsidRDefault="00F4623E" w:rsidP="005B6837">
      <w:pPr>
        <w:spacing w:after="0"/>
        <w:jc w:val="center"/>
        <w:rPr>
          <w:rFonts w:ascii="Garamond" w:hAnsi="Garamond"/>
          <w:bCs/>
          <w:color w:val="00B050"/>
        </w:rPr>
      </w:pPr>
      <w:r w:rsidRPr="00F4623E">
        <w:rPr>
          <w:rFonts w:ascii="Garamond" w:hAnsi="Garamond"/>
          <w:bCs/>
          <w:color w:val="00B050"/>
        </w:rPr>
        <w:t>Group Work</w:t>
      </w:r>
      <w:r>
        <w:rPr>
          <w:rFonts w:ascii="Garamond" w:hAnsi="Garamond"/>
          <w:bCs/>
          <w:color w:val="00B050"/>
        </w:rPr>
        <w:t>:</w:t>
      </w:r>
      <w:r>
        <w:rPr>
          <w:rFonts w:ascii="Garamond" w:hAnsi="Garamond"/>
          <w:bCs/>
          <w:color w:val="323232"/>
        </w:rPr>
        <w:t xml:space="preserve"> </w:t>
      </w:r>
      <w:r w:rsidRPr="00F4623E">
        <w:rPr>
          <w:rFonts w:ascii="Garamond" w:hAnsi="Garamond"/>
          <w:bCs/>
          <w:color w:val="00B050"/>
        </w:rPr>
        <w:t>15% of course grade</w:t>
      </w:r>
    </w:p>
    <w:p w:rsidR="00F4623E" w:rsidRDefault="00F4623E" w:rsidP="005B6837">
      <w:pPr>
        <w:spacing w:after="0"/>
        <w:jc w:val="center"/>
        <w:rPr>
          <w:rFonts w:ascii="Garamond" w:hAnsi="Garamond"/>
          <w:bCs/>
          <w:color w:val="E36C0A" w:themeColor="accent6" w:themeShade="BF"/>
        </w:rPr>
      </w:pPr>
      <w:r w:rsidRPr="00F4623E">
        <w:rPr>
          <w:rFonts w:ascii="Garamond" w:hAnsi="Garamond"/>
          <w:bCs/>
          <w:color w:val="E36C0A" w:themeColor="accent6" w:themeShade="BF"/>
        </w:rPr>
        <w:t>Paper</w:t>
      </w:r>
      <w:r>
        <w:rPr>
          <w:rFonts w:ascii="Garamond" w:hAnsi="Garamond"/>
          <w:bCs/>
          <w:color w:val="E36C0A" w:themeColor="accent6" w:themeShade="BF"/>
        </w:rPr>
        <w:t>s: 30% of course grade</w:t>
      </w:r>
    </w:p>
    <w:p w:rsidR="005B6837" w:rsidRDefault="005B6837" w:rsidP="005B6837">
      <w:pPr>
        <w:spacing w:after="0"/>
        <w:jc w:val="center"/>
        <w:rPr>
          <w:rFonts w:ascii="Garamond" w:hAnsi="Garamond"/>
          <w:bCs/>
        </w:rPr>
      </w:pPr>
      <w:r>
        <w:rPr>
          <w:rFonts w:ascii="Garamond" w:hAnsi="Garamond"/>
          <w:bCs/>
        </w:rPr>
        <w:t>Final: 10% of course grade</w:t>
      </w:r>
    </w:p>
    <w:p w:rsidR="005B6837" w:rsidRPr="005B6837" w:rsidRDefault="005B6837" w:rsidP="005B6837">
      <w:pPr>
        <w:spacing w:after="0"/>
        <w:jc w:val="center"/>
        <w:rPr>
          <w:rFonts w:ascii="Garamond" w:hAnsi="Garamond"/>
          <w:b/>
          <w:i/>
          <w:sz w:val="24"/>
          <w:szCs w:val="24"/>
        </w:rPr>
      </w:pPr>
      <w:r>
        <w:rPr>
          <w:rFonts w:ascii="Garamond" w:hAnsi="Garamond"/>
          <w:bCs/>
          <w:i/>
        </w:rPr>
        <w:t>(Not listed here Attendance (10%) and Readings/Quizzes (10%)</w:t>
      </w:r>
    </w:p>
    <w:sectPr w:rsidR="005B6837" w:rsidRPr="005B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1AB"/>
    <w:multiLevelType w:val="hybridMultilevel"/>
    <w:tmpl w:val="B43A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B71FE"/>
    <w:multiLevelType w:val="hybridMultilevel"/>
    <w:tmpl w:val="C13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D00A0"/>
    <w:multiLevelType w:val="hybridMultilevel"/>
    <w:tmpl w:val="2D04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E047A"/>
    <w:multiLevelType w:val="hybridMultilevel"/>
    <w:tmpl w:val="94DC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FA"/>
    <w:rsid w:val="002C2DE5"/>
    <w:rsid w:val="0032538E"/>
    <w:rsid w:val="005B6837"/>
    <w:rsid w:val="009C6DFA"/>
    <w:rsid w:val="009D4C1A"/>
    <w:rsid w:val="00A66DCA"/>
    <w:rsid w:val="00B56E0F"/>
    <w:rsid w:val="00CC0957"/>
    <w:rsid w:val="00F4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FA"/>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DFA"/>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9C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DFA"/>
    <w:rPr>
      <w:color w:val="0000FF" w:themeColor="hyperlink"/>
      <w:u w:val="single"/>
    </w:rPr>
  </w:style>
  <w:style w:type="paragraph" w:styleId="ListParagraph">
    <w:name w:val="List Paragraph"/>
    <w:basedOn w:val="Normal"/>
    <w:uiPriority w:val="34"/>
    <w:qFormat/>
    <w:rsid w:val="009D4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FA"/>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DFA"/>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9C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DFA"/>
    <w:rPr>
      <w:color w:val="0000FF" w:themeColor="hyperlink"/>
      <w:u w:val="single"/>
    </w:rPr>
  </w:style>
  <w:style w:type="paragraph" w:styleId="ListParagraph">
    <w:name w:val="List Paragraph"/>
    <w:basedOn w:val="Normal"/>
    <w:uiPriority w:val="34"/>
    <w:qFormat/>
    <w:rsid w:val="009D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2239">
      <w:bodyDiv w:val="1"/>
      <w:marLeft w:val="0"/>
      <w:marRight w:val="0"/>
      <w:marTop w:val="0"/>
      <w:marBottom w:val="0"/>
      <w:divBdr>
        <w:top w:val="none" w:sz="0" w:space="0" w:color="auto"/>
        <w:left w:val="none" w:sz="0" w:space="0" w:color="auto"/>
        <w:bottom w:val="none" w:sz="0" w:space="0" w:color="auto"/>
        <w:right w:val="none" w:sz="0" w:space="0" w:color="auto"/>
      </w:divBdr>
    </w:div>
    <w:div w:id="1718891398">
      <w:bodyDiv w:val="1"/>
      <w:marLeft w:val="0"/>
      <w:marRight w:val="0"/>
      <w:marTop w:val="0"/>
      <w:marBottom w:val="0"/>
      <w:divBdr>
        <w:top w:val="none" w:sz="0" w:space="0" w:color="auto"/>
        <w:left w:val="none" w:sz="0" w:space="0" w:color="auto"/>
        <w:bottom w:val="none" w:sz="0" w:space="0" w:color="auto"/>
        <w:right w:val="none" w:sz="0" w:space="0" w:color="auto"/>
      </w:divBdr>
      <w:divsChild>
        <w:div w:id="1439178726">
          <w:marLeft w:val="0"/>
          <w:marRight w:val="0"/>
          <w:marTop w:val="0"/>
          <w:marBottom w:val="0"/>
          <w:divBdr>
            <w:top w:val="none" w:sz="0" w:space="0" w:color="auto"/>
            <w:left w:val="none" w:sz="0" w:space="0" w:color="auto"/>
            <w:bottom w:val="none" w:sz="0" w:space="0" w:color="auto"/>
            <w:right w:val="none" w:sz="0" w:space="0" w:color="auto"/>
          </w:divBdr>
        </w:div>
        <w:div w:id="1242446261">
          <w:marLeft w:val="0"/>
          <w:marRight w:val="0"/>
          <w:marTop w:val="0"/>
          <w:marBottom w:val="0"/>
          <w:divBdr>
            <w:top w:val="none" w:sz="0" w:space="0" w:color="auto"/>
            <w:left w:val="none" w:sz="0" w:space="0" w:color="auto"/>
            <w:bottom w:val="none" w:sz="0" w:space="0" w:color="auto"/>
            <w:right w:val="none" w:sz="0" w:space="0" w:color="auto"/>
          </w:divBdr>
        </w:div>
        <w:div w:id="1895463998">
          <w:marLeft w:val="0"/>
          <w:marRight w:val="0"/>
          <w:marTop w:val="0"/>
          <w:marBottom w:val="0"/>
          <w:divBdr>
            <w:top w:val="none" w:sz="0" w:space="0" w:color="auto"/>
            <w:left w:val="none" w:sz="0" w:space="0" w:color="auto"/>
            <w:bottom w:val="none" w:sz="0" w:space="0" w:color="auto"/>
            <w:right w:val="none" w:sz="0" w:space="0" w:color="auto"/>
          </w:divBdr>
        </w:div>
        <w:div w:id="2026440312">
          <w:marLeft w:val="0"/>
          <w:marRight w:val="0"/>
          <w:marTop w:val="0"/>
          <w:marBottom w:val="0"/>
          <w:divBdr>
            <w:top w:val="none" w:sz="0" w:space="0" w:color="auto"/>
            <w:left w:val="none" w:sz="0" w:space="0" w:color="auto"/>
            <w:bottom w:val="none" w:sz="0" w:space="0" w:color="auto"/>
            <w:right w:val="none" w:sz="0" w:space="0" w:color="auto"/>
          </w:divBdr>
        </w:div>
        <w:div w:id="873884650">
          <w:marLeft w:val="0"/>
          <w:marRight w:val="0"/>
          <w:marTop w:val="0"/>
          <w:marBottom w:val="0"/>
          <w:divBdr>
            <w:top w:val="none" w:sz="0" w:space="0" w:color="auto"/>
            <w:left w:val="none" w:sz="0" w:space="0" w:color="auto"/>
            <w:bottom w:val="none" w:sz="0" w:space="0" w:color="auto"/>
            <w:right w:val="none" w:sz="0" w:space="0" w:color="auto"/>
          </w:divBdr>
        </w:div>
        <w:div w:id="268003512">
          <w:marLeft w:val="0"/>
          <w:marRight w:val="0"/>
          <w:marTop w:val="0"/>
          <w:marBottom w:val="0"/>
          <w:divBdr>
            <w:top w:val="none" w:sz="0" w:space="0" w:color="auto"/>
            <w:left w:val="none" w:sz="0" w:space="0" w:color="auto"/>
            <w:bottom w:val="none" w:sz="0" w:space="0" w:color="auto"/>
            <w:right w:val="none" w:sz="0" w:space="0" w:color="auto"/>
          </w:divBdr>
        </w:div>
        <w:div w:id="2043284611">
          <w:marLeft w:val="0"/>
          <w:marRight w:val="0"/>
          <w:marTop w:val="0"/>
          <w:marBottom w:val="0"/>
          <w:divBdr>
            <w:top w:val="none" w:sz="0" w:space="0" w:color="auto"/>
            <w:left w:val="none" w:sz="0" w:space="0" w:color="auto"/>
            <w:bottom w:val="none" w:sz="0" w:space="0" w:color="auto"/>
            <w:right w:val="none" w:sz="0" w:space="0" w:color="auto"/>
          </w:divBdr>
        </w:div>
        <w:div w:id="215547929">
          <w:marLeft w:val="0"/>
          <w:marRight w:val="0"/>
          <w:marTop w:val="0"/>
          <w:marBottom w:val="0"/>
          <w:divBdr>
            <w:top w:val="none" w:sz="0" w:space="0" w:color="auto"/>
            <w:left w:val="none" w:sz="0" w:space="0" w:color="auto"/>
            <w:bottom w:val="none" w:sz="0" w:space="0" w:color="auto"/>
            <w:right w:val="none" w:sz="0" w:space="0" w:color="auto"/>
          </w:divBdr>
        </w:div>
        <w:div w:id="999313116">
          <w:marLeft w:val="0"/>
          <w:marRight w:val="0"/>
          <w:marTop w:val="0"/>
          <w:marBottom w:val="0"/>
          <w:divBdr>
            <w:top w:val="none" w:sz="0" w:space="0" w:color="auto"/>
            <w:left w:val="none" w:sz="0" w:space="0" w:color="auto"/>
            <w:bottom w:val="none" w:sz="0" w:space="0" w:color="auto"/>
            <w:right w:val="none" w:sz="0" w:space="0" w:color="auto"/>
          </w:divBdr>
        </w:div>
        <w:div w:id="1645502274">
          <w:marLeft w:val="0"/>
          <w:marRight w:val="0"/>
          <w:marTop w:val="0"/>
          <w:marBottom w:val="0"/>
          <w:divBdr>
            <w:top w:val="none" w:sz="0" w:space="0" w:color="auto"/>
            <w:left w:val="none" w:sz="0" w:space="0" w:color="auto"/>
            <w:bottom w:val="none" w:sz="0" w:space="0" w:color="auto"/>
            <w:right w:val="none" w:sz="0" w:space="0" w:color="auto"/>
          </w:divBdr>
        </w:div>
      </w:divsChild>
    </w:div>
    <w:div w:id="20471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itytech.cuny.edu/help/how/index.php" TargetMode="External"/><Relationship Id="rId3" Type="http://schemas.microsoft.com/office/2007/relationships/stylesWithEffects" Target="stylesWithEffects.xml"/><Relationship Id="rId7" Type="http://schemas.openxmlformats.org/officeDocument/2006/relationships/hyperlink" Target="http://www.boundless.com/GQFUYH9XXI26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mond@CityTech.Cuny.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lab.citytech.cuny.edu/almondpsy3405d919fall2015/wp-admin/www.boundless.com/GQFUYH9XXI26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2015-06-18T21:37:00Z</dcterms:created>
  <dcterms:modified xsi:type="dcterms:W3CDTF">2015-06-18T22:56:00Z</dcterms:modified>
</cp:coreProperties>
</file>