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spacing w:after="0" w:before="48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SITE REPORT #2B</w:t>
      </w:r>
    </w:p>
    <w:p w:rsidR="00000000" w:rsidDel="00000000" w:rsidP="00000000" w:rsidRDefault="00000000" w:rsidRPr="00000000" w14:paraId="00000001">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2">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Tyne Hazel</w:t>
      </w:r>
    </w:p>
    <w:p w:rsidR="00000000" w:rsidDel="00000000" w:rsidP="00000000" w:rsidRDefault="00000000" w:rsidRPr="00000000" w14:paraId="00000003">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LIB/ARCH 2205</w:t>
      </w:r>
    </w:p>
    <w:p w:rsidR="00000000" w:rsidDel="00000000" w:rsidP="00000000" w:rsidRDefault="00000000" w:rsidRPr="00000000" w14:paraId="00000004">
      <w:pPr>
        <w:widowControl w:val="0"/>
        <w:spacing w:before="200" w:line="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widowControl w:val="0"/>
        <w:spacing w:before="200" w:line="312"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Research Question:</w:t>
      </w:r>
    </w:p>
    <w:p w:rsidR="00000000" w:rsidDel="00000000" w:rsidP="00000000" w:rsidRDefault="00000000" w:rsidRPr="00000000" w14:paraId="00000006">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were some of the tactics/efforts the Guerilla Girls had to participate in in order to add their “rude” artwork to Museums not only in Brooklyn but all around the nation?</w:t>
      </w:r>
      <w:r w:rsidDel="00000000" w:rsidR="00000000" w:rsidRPr="00000000">
        <w:rPr>
          <w:rtl w:val="0"/>
        </w:rPr>
      </w:r>
    </w:p>
    <w:p w:rsidR="00000000" w:rsidDel="00000000" w:rsidP="00000000" w:rsidRDefault="00000000" w:rsidRPr="00000000" w14:paraId="00000007">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Write an MLA citation for each source:</w:t>
      </w:r>
      <w:r w:rsidDel="00000000" w:rsidR="00000000" w:rsidRPr="00000000">
        <w:rPr>
          <w:rtl w:val="0"/>
        </w:rPr>
      </w:r>
    </w:p>
    <w:p w:rsidR="00000000" w:rsidDel="00000000" w:rsidP="00000000" w:rsidRDefault="00000000" w:rsidRPr="00000000" w14:paraId="00000008">
      <w:pPr>
        <w:widowControl w:val="0"/>
        <w:spacing w:before="200" w:line="312"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Source 1</w:t>
      </w:r>
    </w:p>
    <w:p w:rsidR="00000000" w:rsidDel="00000000" w:rsidP="00000000" w:rsidRDefault="00000000" w:rsidRPr="00000000" w14:paraId="00000009">
      <w:pPr>
        <w:widowControl w:val="0"/>
        <w:spacing w:before="200" w:lineRule="auto"/>
        <w:contextualSpacing w:val="0"/>
        <w:jc w:val="left"/>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1. "The Guerrilla Girls Artist Overview and Analysis". [Internet]. 2018. </w:t>
      </w:r>
      <w:hyperlink r:id="rId6">
        <w:r w:rsidDel="00000000" w:rsidR="00000000" w:rsidRPr="00000000">
          <w:rPr>
            <w:rFonts w:ascii="Verdana" w:cs="Verdana" w:eastAsia="Verdana" w:hAnsi="Verdana"/>
            <w:i w:val="1"/>
            <w:sz w:val="24"/>
            <w:szCs w:val="24"/>
            <w:rtl w:val="0"/>
          </w:rPr>
          <w:t xml:space="preserve">TheArtStory.org</w:t>
        </w:r>
      </w:hyperlink>
      <w:r w:rsidDel="00000000" w:rsidR="00000000" w:rsidRPr="00000000">
        <w:rPr>
          <w:rFonts w:ascii="Verdana" w:cs="Verdana" w:eastAsia="Verdana" w:hAnsi="Verdana"/>
          <w:i w:val="1"/>
          <w:sz w:val="24"/>
          <w:szCs w:val="24"/>
          <w:rtl w:val="0"/>
        </w:rPr>
        <w:t xml:space="preserve"> </w:t>
      </w:r>
    </w:p>
    <w:p w:rsidR="00000000" w:rsidDel="00000000" w:rsidP="00000000" w:rsidRDefault="00000000" w:rsidRPr="00000000" w14:paraId="0000000A">
      <w:pPr>
        <w:widowControl w:val="0"/>
        <w:spacing w:before="200" w:lineRule="auto"/>
        <w:contextualSpacing w:val="0"/>
        <w:jc w:val="left"/>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Content compiled and written by Rebecca Seiferle</w:t>
        <w:tab/>
      </w:r>
    </w:p>
    <w:p w:rsidR="00000000" w:rsidDel="00000000" w:rsidP="00000000" w:rsidRDefault="00000000" w:rsidRPr="00000000" w14:paraId="0000000B">
      <w:pPr>
        <w:widowControl w:val="0"/>
        <w:spacing w:before="200" w:lineRule="auto"/>
        <w:contextualSpacing w:val="0"/>
        <w:jc w:val="left"/>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Edited and revised, with Synopsis and Key Ideas added by Ruth Epstein</w:t>
        <w:tab/>
      </w:r>
    </w:p>
    <w:p w:rsidR="00000000" w:rsidDel="00000000" w:rsidP="00000000" w:rsidRDefault="00000000" w:rsidRPr="00000000" w14:paraId="0000000C">
      <w:pPr>
        <w:widowControl w:val="0"/>
        <w:spacing w:before="200" w:lineRule="auto"/>
        <w:contextualSpacing w:val="0"/>
        <w:jc w:val="left"/>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Available from: </w:t>
      </w:r>
      <w:r w:rsidDel="00000000" w:rsidR="00000000" w:rsidRPr="00000000">
        <w:rPr>
          <w:rFonts w:ascii="Verdana" w:cs="Verdana" w:eastAsia="Verdana" w:hAnsi="Verdana"/>
          <w:i w:val="1"/>
          <w:sz w:val="24"/>
          <w:szCs w:val="24"/>
          <w:rtl w:val="0"/>
        </w:rPr>
        <w:t xml:space="preserve">https://www.theartstory.org/artist-guerrilla-girls.htm</w:t>
      </w:r>
      <w:r w:rsidDel="00000000" w:rsidR="00000000" w:rsidRPr="00000000">
        <w:rPr>
          <w:rFonts w:ascii="Verdana" w:cs="Verdana" w:eastAsia="Verdana" w:hAnsi="Verdana"/>
          <w:i w:val="1"/>
          <w:sz w:val="24"/>
          <w:szCs w:val="24"/>
          <w:rtl w:val="0"/>
        </w:rPr>
        <w:t xml:space="preserve"> </w:t>
      </w:r>
    </w:p>
    <w:p w:rsidR="00000000" w:rsidDel="00000000" w:rsidP="00000000" w:rsidRDefault="00000000" w:rsidRPr="00000000" w14:paraId="0000000D">
      <w:pPr>
        <w:widowControl w:val="0"/>
        <w:spacing w:before="200" w:line="312" w:lineRule="auto"/>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[Accessed 01 Nov 2018</w:t>
      </w:r>
    </w:p>
    <w:p w:rsidR="00000000" w:rsidDel="00000000" w:rsidP="00000000" w:rsidRDefault="00000000" w:rsidRPr="00000000" w14:paraId="0000000E">
      <w:pPr>
        <w:widowControl w:val="0"/>
        <w:spacing w:before="200" w:line="312" w:lineRule="auto"/>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2. Caldwell, C. Ellen.  “The Guerrilla Girls Turn 30” September 8, 2015. </w:t>
      </w:r>
      <w:hyperlink r:id="rId7">
        <w:r w:rsidDel="00000000" w:rsidR="00000000" w:rsidRPr="00000000">
          <w:rPr>
            <w:rFonts w:ascii="Verdana" w:cs="Verdana" w:eastAsia="Verdana" w:hAnsi="Verdana"/>
            <w:i w:val="1"/>
            <w:sz w:val="24"/>
            <w:szCs w:val="24"/>
            <w:u w:val="single"/>
            <w:rtl w:val="0"/>
          </w:rPr>
          <w:t xml:space="preserve">https://daily.jstor.org/the-guerrilla-girls-turn-30/</w:t>
        </w:r>
      </w:hyperlink>
      <w:r w:rsidDel="00000000" w:rsidR="00000000" w:rsidRPr="00000000">
        <w:rPr>
          <w:rFonts w:ascii="Verdana" w:cs="Verdana" w:eastAsia="Verdana" w:hAnsi="Verdana"/>
          <w:i w:val="1"/>
          <w:sz w:val="24"/>
          <w:szCs w:val="24"/>
          <w:rtl w:val="0"/>
        </w:rPr>
        <w:t xml:space="preserve"> November, 1, 2018</w:t>
      </w:r>
    </w:p>
    <w:p w:rsidR="00000000" w:rsidDel="00000000" w:rsidP="00000000" w:rsidRDefault="00000000" w:rsidRPr="00000000" w14:paraId="0000000F">
      <w:pPr>
        <w:widowControl w:val="0"/>
        <w:spacing w:before="200" w:line="312" w:lineRule="auto"/>
        <w:contextualSpacing w:val="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3. </w:t>
      </w:r>
      <w:r w:rsidDel="00000000" w:rsidR="00000000" w:rsidRPr="00000000">
        <w:rPr>
          <w:rFonts w:ascii="Verdana" w:cs="Verdana" w:eastAsia="Verdana" w:hAnsi="Verdana"/>
          <w:i w:val="1"/>
          <w:sz w:val="24"/>
          <w:szCs w:val="24"/>
          <w:highlight w:val="white"/>
          <w:rtl w:val="0"/>
        </w:rPr>
        <w:t xml:space="preserve">Lustig, S., &amp; Sklar, K. (2002). </w:t>
      </w:r>
      <w:r w:rsidDel="00000000" w:rsidR="00000000" w:rsidRPr="00000000">
        <w:rPr>
          <w:rFonts w:ascii="Verdana" w:cs="Verdana" w:eastAsia="Verdana" w:hAnsi="Verdana"/>
          <w:i w:val="1"/>
          <w:sz w:val="24"/>
          <w:szCs w:val="24"/>
          <w:rtl w:val="0"/>
        </w:rPr>
        <w:t xml:space="preserve">How and why did the Guerrilla Girls alter the art world establishment in New York City, 1985-1995?</w:t>
      </w:r>
      <w:r w:rsidDel="00000000" w:rsidR="00000000" w:rsidRPr="00000000">
        <w:rPr>
          <w:rFonts w:ascii="Verdana" w:cs="Verdana" w:eastAsia="Verdana" w:hAnsi="Verdana"/>
          <w:i w:val="1"/>
          <w:sz w:val="24"/>
          <w:szCs w:val="24"/>
          <w:highlight w:val="white"/>
          <w:rtl w:val="0"/>
        </w:rPr>
        <w:t xml:space="preserve"> (Women and social movements: scholar's edition). Binghamton, NY: State university of New York.</w:t>
      </w:r>
      <w:r w:rsidDel="00000000" w:rsidR="00000000" w:rsidRPr="00000000">
        <w:rPr>
          <w:rtl w:val="0"/>
        </w:rPr>
      </w:r>
    </w:p>
    <w:p w:rsidR="00000000" w:rsidDel="00000000" w:rsidP="00000000" w:rsidRDefault="00000000" w:rsidRPr="00000000" w14:paraId="00000010">
      <w:pPr>
        <w:widowControl w:val="0"/>
        <w:spacing w:before="200" w:line="312"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Source 2</w:t>
      </w:r>
    </w:p>
    <w:p w:rsidR="00000000" w:rsidDel="00000000" w:rsidP="00000000" w:rsidRDefault="00000000" w:rsidRPr="00000000" w14:paraId="00000011">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highlight w:val="white"/>
          <w:rtl w:val="0"/>
        </w:rPr>
        <w:t xml:space="preserve">Guerrilla Girls and Guerrilla Girls BroadBand: Inside Story. (2011). </w:t>
      </w:r>
      <w:r w:rsidDel="00000000" w:rsidR="00000000" w:rsidRPr="00000000">
        <w:rPr>
          <w:rFonts w:ascii="Verdana" w:cs="Verdana" w:eastAsia="Verdana" w:hAnsi="Verdana"/>
          <w:i w:val="1"/>
          <w:sz w:val="24"/>
          <w:szCs w:val="24"/>
          <w:rtl w:val="0"/>
        </w:rPr>
        <w:t xml:space="preserve">Art Journal,</w:t>
      </w:r>
      <w:r w:rsidDel="00000000" w:rsidR="00000000" w:rsidRPr="00000000">
        <w:rPr>
          <w:rFonts w:ascii="Verdana" w:cs="Verdana" w:eastAsia="Verdana" w:hAnsi="Verdana"/>
          <w:sz w:val="24"/>
          <w:szCs w:val="24"/>
          <w:highlight w:val="white"/>
          <w:rtl w:val="0"/>
        </w:rPr>
        <w:t xml:space="preserve"> </w:t>
      </w:r>
      <w:r w:rsidDel="00000000" w:rsidR="00000000" w:rsidRPr="00000000">
        <w:rPr>
          <w:rFonts w:ascii="Verdana" w:cs="Verdana" w:eastAsia="Verdana" w:hAnsi="Verdana"/>
          <w:i w:val="1"/>
          <w:sz w:val="24"/>
          <w:szCs w:val="24"/>
          <w:rtl w:val="0"/>
        </w:rPr>
        <w:t xml:space="preserve">70</w:t>
      </w:r>
      <w:r w:rsidDel="00000000" w:rsidR="00000000" w:rsidRPr="00000000">
        <w:rPr>
          <w:rFonts w:ascii="Verdana" w:cs="Verdana" w:eastAsia="Verdana" w:hAnsi="Verdana"/>
          <w:sz w:val="24"/>
          <w:szCs w:val="24"/>
          <w:highlight w:val="white"/>
          <w:rtl w:val="0"/>
        </w:rPr>
        <w:t xml:space="preserve">(2), 88-101</w:t>
      </w:r>
      <w:r w:rsidDel="00000000" w:rsidR="00000000" w:rsidRPr="00000000">
        <w:rPr>
          <w:rtl w:val="0"/>
        </w:rPr>
      </w:r>
    </w:p>
    <w:p w:rsidR="00000000" w:rsidDel="00000000" w:rsidP="00000000" w:rsidRDefault="00000000" w:rsidRPr="00000000" w14:paraId="00000012">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Describe the process you used to find these sources including any </w:t>
      </w:r>
      <w:r w:rsidDel="00000000" w:rsidR="00000000" w:rsidRPr="00000000">
        <w:rPr>
          <w:rFonts w:ascii="Verdana" w:cs="Verdana" w:eastAsia="Verdana" w:hAnsi="Verdana"/>
          <w:b w:val="1"/>
          <w:sz w:val="24"/>
          <w:szCs w:val="24"/>
          <w:rtl w:val="0"/>
        </w:rPr>
        <w:t xml:space="preserve">keywords</w:t>
      </w:r>
      <w:r w:rsidDel="00000000" w:rsidR="00000000" w:rsidRPr="00000000">
        <w:rPr>
          <w:rFonts w:ascii="Verdana" w:cs="Verdana" w:eastAsia="Verdana" w:hAnsi="Verdana"/>
          <w:sz w:val="24"/>
          <w:szCs w:val="24"/>
          <w:rtl w:val="0"/>
        </w:rPr>
        <w:t xml:space="preserve"> and the </w:t>
      </w:r>
      <w:r w:rsidDel="00000000" w:rsidR="00000000" w:rsidRPr="00000000">
        <w:rPr>
          <w:rFonts w:ascii="Verdana" w:cs="Verdana" w:eastAsia="Verdana" w:hAnsi="Verdana"/>
          <w:b w:val="1"/>
          <w:sz w:val="24"/>
          <w:szCs w:val="24"/>
          <w:rtl w:val="0"/>
        </w:rPr>
        <w:t xml:space="preserve">specific search engine or tool</w:t>
      </w:r>
      <w:r w:rsidDel="00000000" w:rsidR="00000000" w:rsidRPr="00000000">
        <w:rPr>
          <w:rFonts w:ascii="Verdana" w:cs="Verdana" w:eastAsia="Verdana" w:hAnsi="Verdana"/>
          <w:sz w:val="24"/>
          <w:szCs w:val="24"/>
          <w:rtl w:val="0"/>
        </w:rPr>
        <w:t xml:space="preserve"> you used to search.</w:t>
      </w:r>
    </w:p>
    <w:p w:rsidR="00000000" w:rsidDel="00000000" w:rsidP="00000000" w:rsidRDefault="00000000" w:rsidRPr="00000000" w14:paraId="00000013">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process for finding these sources was fairly easy. I used the City Tech library (one search) to help find sources. The keywords I used for the first search were “Guerilla Girls.” “academic journal article,” And for the other searches I chose a variation of of art, social, and political words to help broaden the search considering the Guerilla Girls were a feminist artistic group of women who fought discrimination against sexism, racism, etc. Despite broadening the search, it resulted in an abundance of the documents that popped up after. I quickly skimmed the content, I realized majority of the text hit the same points and topics to be discussed in the aforementioned research questions so it was slightly difficult picking the best ones.</w:t>
      </w:r>
    </w:p>
    <w:p w:rsidR="00000000" w:rsidDel="00000000" w:rsidP="00000000" w:rsidRDefault="00000000" w:rsidRPr="00000000" w14:paraId="00000014">
      <w:pPr>
        <w:widowControl w:val="0"/>
        <w:spacing w:before="200" w:line="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a sentence or 2, describe the main point of each source. Then consider: how do these sources address all or part of your research question? </w:t>
      </w:r>
    </w:p>
    <w:p w:rsidR="00000000" w:rsidDel="00000000" w:rsidP="00000000" w:rsidRDefault="00000000" w:rsidRPr="00000000" w14:paraId="00000016">
      <w:pPr>
        <w:widowControl w:val="0"/>
        <w:spacing w:before="200" w:line="312"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Source 1</w:t>
      </w:r>
    </w:p>
    <w:p w:rsidR="00000000" w:rsidDel="00000000" w:rsidP="00000000" w:rsidRDefault="00000000" w:rsidRPr="00000000" w14:paraId="00000017">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w:t>
      </w:r>
      <w:r w:rsidDel="00000000" w:rsidR="00000000" w:rsidRPr="00000000">
        <w:rPr>
          <w:rFonts w:ascii="Verdana" w:cs="Verdana" w:eastAsia="Verdana" w:hAnsi="Verdana"/>
          <w:sz w:val="24"/>
          <w:szCs w:val="24"/>
          <w:rtl w:val="0"/>
        </w:rPr>
        <w:t xml:space="preserve">In 1985, a group of vigilantes wearing gorilla masks took to the streets. Armed with wheat paste and posters, the Guerrilla Girls, as they called themselves, set out to shame the art world for its underrepresentation of women artists. Their posters, in the words of one critic "were rude; they named names and they printed statistics. They embarrassed people. In other words, they worked." In addition to posters (now highly-valued works of art), billboards, performances, protests, lectures, installations, and limited-edition prints make up the Guerrilla Girls' varied </w:t>
      </w:r>
      <w:r w:rsidDel="00000000" w:rsidR="00000000" w:rsidRPr="00000000">
        <w:rPr>
          <w:rFonts w:ascii="Verdana" w:cs="Verdana" w:eastAsia="Verdana" w:hAnsi="Verdana"/>
          <w:i w:val="1"/>
          <w:sz w:val="24"/>
          <w:szCs w:val="24"/>
          <w:rtl w:val="0"/>
        </w:rPr>
        <w:t xml:space="preserve">oeuvre</w:t>
      </w:r>
      <w:r w:rsidDel="00000000" w:rsidR="00000000" w:rsidRPr="00000000">
        <w:rPr>
          <w:rFonts w:ascii="Verdana" w:cs="Verdana" w:eastAsia="Verdana" w:hAnsi="Verdana"/>
          <w:sz w:val="24"/>
          <w:szCs w:val="24"/>
          <w:rtl w:val="0"/>
        </w:rPr>
        <w:t xml:space="preserve">. Their unorthodox tactics were instrumental in making progress. The group is still going strong, reminding the art world that it still has a long way to go. Referring to themselves as "the conscience of the art world," wherever discrimination lurks, the Guerrilla Girls are likely to strike again. </w:t>
      </w:r>
    </w:p>
    <w:p w:rsidR="00000000" w:rsidDel="00000000" w:rsidP="00000000" w:rsidRDefault="00000000" w:rsidRPr="00000000" w14:paraId="00000018">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 their reputation has grown, they have encompassed targets beyond the art sphere, like Hollywood, right wing politicians, and same-sex marriage. They have collaborated with institutions that once shunned them, including the Tate Modern and MoMA, and yet their tactics remain as radical as ever. In a 2012 interview they revealed, "We've been working on a weapon, an estrogen bomb...If you drop it, the men will drop their guns and start hugging each other. They'll say, 'Why don't we clean this place up?' In the end, we encourage people to send their extra estrogen pills to Karl Rove; he needs a little more estrogen."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9">
      <w:pPr>
        <w:widowControl w:val="0"/>
        <w:spacing w:before="200" w:line="312"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Source 2</w:t>
      </w:r>
      <w:r w:rsidDel="00000000" w:rsidR="00000000" w:rsidRPr="00000000">
        <w:rPr>
          <w:rtl w:val="0"/>
        </w:rPr>
      </w:r>
    </w:p>
    <w:p w:rsidR="00000000" w:rsidDel="00000000" w:rsidP="00000000" w:rsidRDefault="00000000" w:rsidRPr="00000000" w14:paraId="0000001A">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sz w:val="24"/>
          <w:szCs w:val="24"/>
          <w:rtl w:val="0"/>
        </w:rPr>
        <w:t xml:space="preserve">The author traces the history of New York feminist art and activist collective the Guerrilla Girls from their inception in 1985. She explains how the group was motivated by anger at the under-representation of women artists by American institutions, describes their decision to assume the names of dead women artists as aliases, and to wear gorilla masks when undertaking performances, actions and lectures. She details their poster works, which combined feminist politics with humour, and analyses the hierarchies of power within the group itself, highlighting divisions that arose over issues such as the use of Guerrilla Girl tactics by other collectives and the lack of black Guerrilla Girl members. She details the split that occurred in 2000, from which she then co-founded Guerrilla Girls BroadBand, describing their online projects and actions addressing feminist and other political issues, and using the poster strategies favoured by the original group.</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1B">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Describe ways the two sources you chose are similar and different. Would it be difficult to integrate these two sources into a single writing assignment? Why or why not?</w:t>
      </w:r>
    </w:p>
    <w:p w:rsidR="00000000" w:rsidDel="00000000" w:rsidP="00000000" w:rsidRDefault="00000000" w:rsidRPr="00000000" w14:paraId="0000001C">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two sources I picked shows the summary or the abstract of the text’s content. I’m not sure whether it would be a good or a bad idea to integrate these two sources into one single writing assignment solely because of the different viewpoints of the documents. One has to do with the</w:t>
      </w:r>
      <w:r w:rsidDel="00000000" w:rsidR="00000000" w:rsidRPr="00000000">
        <w:rPr>
          <w:rFonts w:ascii="Verdana" w:cs="Verdana" w:eastAsia="Verdana" w:hAnsi="Verdana"/>
          <w:sz w:val="24"/>
          <w:szCs w:val="24"/>
          <w:rtl w:val="0"/>
        </w:rPr>
        <w:t xml:space="preserve"> artwork, artist, artistic style, or some type of element the Guerilla Girls used to incorporate into their work whereas the other leaning more toward the specific artists social and political thoughts of their artwork. Then again, there would be a plethora of subjects to discuss, connect and analyze with the two sources.</w:t>
      </w:r>
      <w:r w:rsidDel="00000000" w:rsidR="00000000" w:rsidRPr="00000000">
        <w:rPr>
          <w:rtl w:val="0"/>
        </w:rPr>
      </w:r>
    </w:p>
    <w:p w:rsidR="00000000" w:rsidDel="00000000" w:rsidP="00000000" w:rsidRDefault="00000000" w:rsidRPr="00000000" w14:paraId="0000001D">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What other sources or further information would you need to answer your question? Where would you look for that information?</w:t>
      </w:r>
    </w:p>
    <w:p w:rsidR="00000000" w:rsidDel="00000000" w:rsidP="00000000" w:rsidRDefault="00000000" w:rsidRPr="00000000" w14:paraId="0000001E">
      <w:pPr>
        <w:widowControl w:val="0"/>
        <w:spacing w:before="200" w:line="312"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took a step further in research by adding several more sources to consider for the research question that also had very different points I would like to include in answering my research question. They are merely internet sources but they some gave insight and efficient answers to questions I was unaware of.</w:t>
      </w:r>
    </w:p>
    <w:p w:rsidR="00000000" w:rsidDel="00000000" w:rsidP="00000000" w:rsidRDefault="00000000" w:rsidRPr="00000000" w14:paraId="0000001F">
      <w:pPr>
        <w:widowControl w:val="0"/>
        <w:spacing w:before="200" w:line="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widowControl w:val="0"/>
        <w:spacing w:before="200" w:line="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widowControl w:val="0"/>
        <w:spacing w:before="200" w:line="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widowControl w:val="0"/>
        <w:spacing w:before="200" w:line="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widowControl w:val="0"/>
        <w:spacing w:before="200" w:line="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widowControl w:val="0"/>
        <w:spacing w:before="200" w:line="312"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contextualSpacing w:val="0"/>
        <w:rPr>
          <w:rFonts w:ascii="Verdana" w:cs="Verdana" w:eastAsia="Verdana" w:hAnsi="Verdan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artstory.org/" TargetMode="External"/><Relationship Id="rId7" Type="http://schemas.openxmlformats.org/officeDocument/2006/relationships/hyperlink" Target="https://daily.jstor.org/the-guerrilla-girls-turn-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