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94" w:rsidRDefault="005718F8" w:rsidP="005718F8">
      <w:pPr>
        <w:jc w:val="center"/>
      </w:pPr>
      <w:bookmarkStart w:id="0" w:name="_GoBack"/>
      <w:bookmarkEnd w:id="0"/>
      <w:r>
        <w:rPr>
          <w:noProof/>
        </w:rPr>
        <w:drawing>
          <wp:inline distT="0" distB="0" distL="0" distR="0" wp14:anchorId="07C4EF75" wp14:editId="2923186C">
            <wp:extent cx="17145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GIMGS1000000152_-00_Arizona-Flag-Crest-Clip-Art_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p w:rsidR="00B22C94" w:rsidRPr="00B22C94" w:rsidRDefault="00B22C94" w:rsidP="00F539E2"/>
    <w:p w:rsidR="00B22C94" w:rsidRDefault="00535524" w:rsidP="00F539E2">
      <w:pPr>
        <w:rPr>
          <w:rFonts w:ascii="Times New Roman" w:hAnsi="Times New Roman" w:cs="Times New Roman"/>
          <w:b/>
          <w:sz w:val="24"/>
          <w:szCs w:val="24"/>
        </w:rPr>
      </w:pPr>
      <w:r>
        <w:rPr>
          <w:rFonts w:ascii="Times New Roman" w:hAnsi="Times New Roman" w:cs="Times New Roman"/>
          <w:b/>
          <w:sz w:val="24"/>
          <w:szCs w:val="24"/>
        </w:rPr>
        <w:t>ARIZONA</w:t>
      </w:r>
      <w:r w:rsidR="00A26BED">
        <w:rPr>
          <w:rFonts w:ascii="Times New Roman" w:hAnsi="Times New Roman" w:cs="Times New Roman"/>
          <w:b/>
          <w:sz w:val="24"/>
          <w:szCs w:val="24"/>
        </w:rPr>
        <w:t>’S INTESTATE SUCCESSION AND WILLS</w:t>
      </w:r>
    </w:p>
    <w:p w:rsidR="00632DA7" w:rsidRDefault="00913BB8" w:rsidP="00F539E2">
      <w:pPr>
        <w:rPr>
          <w:rFonts w:ascii="Times New Roman" w:hAnsi="Times New Roman" w:cs="Times New Roman"/>
          <w:sz w:val="24"/>
          <w:szCs w:val="24"/>
        </w:rPr>
      </w:pPr>
      <w:r>
        <w:rPr>
          <w:rFonts w:ascii="Times New Roman" w:hAnsi="Times New Roman" w:cs="Times New Roman"/>
          <w:sz w:val="24"/>
          <w:szCs w:val="24"/>
        </w:rPr>
        <w:t xml:space="preserve">The main reason people should have </w:t>
      </w:r>
      <w:r w:rsidR="00033DBF">
        <w:rPr>
          <w:rFonts w:ascii="Times New Roman" w:hAnsi="Times New Roman" w:cs="Times New Roman"/>
          <w:sz w:val="24"/>
          <w:szCs w:val="24"/>
        </w:rPr>
        <w:t xml:space="preserve">a Will is to insure their assets will go to the people they desire. If a person died intestate (without a will), the state will divide </w:t>
      </w:r>
      <w:r w:rsidR="00AF26F5">
        <w:rPr>
          <w:rFonts w:ascii="Times New Roman" w:hAnsi="Times New Roman" w:cs="Times New Roman"/>
          <w:sz w:val="24"/>
          <w:szCs w:val="24"/>
        </w:rPr>
        <w:t>their assets</w:t>
      </w:r>
      <w:r w:rsidR="00033DBF">
        <w:rPr>
          <w:rFonts w:ascii="Times New Roman" w:hAnsi="Times New Roman" w:cs="Times New Roman"/>
          <w:sz w:val="24"/>
          <w:szCs w:val="24"/>
        </w:rPr>
        <w:t xml:space="preserve"> and distribute them to the closest relatives. </w:t>
      </w:r>
      <w:r w:rsidR="000A307D">
        <w:rPr>
          <w:rFonts w:ascii="Times New Roman" w:hAnsi="Times New Roman" w:cs="Times New Roman"/>
          <w:sz w:val="24"/>
          <w:szCs w:val="24"/>
        </w:rPr>
        <w:t>The State of Arizona has two types of properties: community property and separate property. S</w:t>
      </w:r>
      <w:r w:rsidR="00220E26">
        <w:rPr>
          <w:rFonts w:ascii="Times New Roman" w:hAnsi="Times New Roman" w:cs="Times New Roman"/>
          <w:sz w:val="24"/>
          <w:szCs w:val="24"/>
        </w:rPr>
        <w:t xml:space="preserve">eparate property acquired by single spouse before the marriage and community property acquired by both partners in a marriage. </w:t>
      </w:r>
    </w:p>
    <w:p w:rsidR="007A0D67" w:rsidRDefault="007A0D67" w:rsidP="00F539E2">
      <w:pPr>
        <w:rPr>
          <w:rFonts w:ascii="Times New Roman" w:hAnsi="Times New Roman" w:cs="Times New Roman"/>
          <w:sz w:val="24"/>
          <w:szCs w:val="24"/>
        </w:rPr>
      </w:pPr>
      <w:r>
        <w:rPr>
          <w:rFonts w:ascii="Times New Roman" w:hAnsi="Times New Roman" w:cs="Times New Roman"/>
          <w:sz w:val="24"/>
          <w:szCs w:val="24"/>
        </w:rPr>
        <w:t>If there is a surviving spouse:</w:t>
      </w:r>
    </w:p>
    <w:p w:rsidR="000A4860" w:rsidRPr="000A4860" w:rsidRDefault="00D40B85" w:rsidP="00F539E2">
      <w:r w:rsidRPr="00AB2419">
        <w:rPr>
          <w:rFonts w:ascii="Times New Roman" w:hAnsi="Times New Roman" w:cs="Times New Roman"/>
          <w:b/>
          <w:i/>
        </w:rPr>
        <w:t>Ariz. Rev. Stat. Ann. § 14-2102</w:t>
      </w:r>
      <w:r w:rsidR="00EA7F4E" w:rsidRPr="00AB2419">
        <w:rPr>
          <w:rFonts w:ascii="Times New Roman" w:hAnsi="Times New Roman" w:cs="Times New Roman"/>
        </w:rPr>
        <w:t xml:space="preserve"> </w:t>
      </w:r>
      <w:r w:rsidR="00AB2419" w:rsidRPr="000C0C92">
        <w:rPr>
          <w:rFonts w:ascii="Times New Roman" w:hAnsi="Times New Roman" w:cs="Times New Roman"/>
          <w:sz w:val="24"/>
          <w:szCs w:val="24"/>
        </w:rPr>
        <w:t>Statute sets forth that both separate property and the one-half of community property that belongs to the decedent, passes to the surviving spouse.</w:t>
      </w:r>
    </w:p>
    <w:p w:rsidR="001A34AD" w:rsidRDefault="000A4860" w:rsidP="00F539E2">
      <w:pPr>
        <w:rPr>
          <w:rFonts w:ascii="Times New Roman" w:hAnsi="Times New Roman" w:cs="Times New Roman"/>
          <w:sz w:val="24"/>
          <w:szCs w:val="24"/>
        </w:rPr>
      </w:pPr>
      <w:r>
        <w:t xml:space="preserve"> </w:t>
      </w:r>
      <w:r w:rsidR="004739A5" w:rsidRPr="004739A5">
        <w:rPr>
          <w:rFonts w:ascii="Times New Roman" w:hAnsi="Times New Roman" w:cs="Times New Roman"/>
          <w:sz w:val="24"/>
          <w:szCs w:val="24"/>
        </w:rPr>
        <w:t>If there is no surviving issue or if there are surviving issue all of whom are issue of the surviving spouse also, the entire intestate estate.</w:t>
      </w:r>
    </w:p>
    <w:p w:rsidR="004739A5" w:rsidRDefault="004739A5" w:rsidP="00F539E2">
      <w:pPr>
        <w:rPr>
          <w:rFonts w:ascii="Times New Roman" w:hAnsi="Times New Roman" w:cs="Times New Roman"/>
          <w:sz w:val="24"/>
          <w:szCs w:val="24"/>
        </w:rPr>
      </w:pPr>
      <w:r w:rsidRPr="004739A5">
        <w:rPr>
          <w:rFonts w:ascii="Times New Roman" w:hAnsi="Times New Roman" w:cs="Times New Roman"/>
          <w:sz w:val="24"/>
          <w:szCs w:val="24"/>
        </w:rPr>
        <w:t xml:space="preserve">If there are surviving issue </w:t>
      </w:r>
      <w:r w:rsidR="002B2280">
        <w:rPr>
          <w:rFonts w:ascii="Times New Roman" w:hAnsi="Times New Roman" w:cs="Times New Roman"/>
          <w:sz w:val="24"/>
          <w:szCs w:val="24"/>
        </w:rPr>
        <w:t>all</w:t>
      </w:r>
      <w:r w:rsidRPr="004739A5">
        <w:rPr>
          <w:rFonts w:ascii="Times New Roman" w:hAnsi="Times New Roman" w:cs="Times New Roman"/>
          <w:sz w:val="24"/>
          <w:szCs w:val="24"/>
        </w:rPr>
        <w:t xml:space="preserve"> of whom are not issue of the surviving spouse, </w:t>
      </w:r>
      <w:r w:rsidR="00400C8C">
        <w:rPr>
          <w:rFonts w:ascii="Times New Roman" w:hAnsi="Times New Roman" w:cs="Times New Roman"/>
          <w:sz w:val="24"/>
          <w:szCs w:val="24"/>
        </w:rPr>
        <w:t xml:space="preserve">½ </w:t>
      </w:r>
      <w:r w:rsidR="00400C8C" w:rsidRPr="004739A5">
        <w:rPr>
          <w:rFonts w:ascii="Times New Roman" w:hAnsi="Times New Roman" w:cs="Times New Roman"/>
          <w:sz w:val="24"/>
          <w:szCs w:val="24"/>
        </w:rPr>
        <w:t>of</w:t>
      </w:r>
      <w:r w:rsidRPr="004739A5">
        <w:rPr>
          <w:rFonts w:ascii="Times New Roman" w:hAnsi="Times New Roman" w:cs="Times New Roman"/>
          <w:sz w:val="24"/>
          <w:szCs w:val="24"/>
        </w:rPr>
        <w:t xml:space="preserve"> the separate property and no interest in the </w:t>
      </w:r>
      <w:r w:rsidR="00400C8C">
        <w:rPr>
          <w:rFonts w:ascii="Times New Roman" w:hAnsi="Times New Roman" w:cs="Times New Roman"/>
          <w:sz w:val="24"/>
          <w:szCs w:val="24"/>
        </w:rPr>
        <w:t xml:space="preserve">½ </w:t>
      </w:r>
      <w:r w:rsidR="00400C8C" w:rsidRPr="004739A5">
        <w:rPr>
          <w:rFonts w:ascii="Times New Roman" w:hAnsi="Times New Roman" w:cs="Times New Roman"/>
          <w:sz w:val="24"/>
          <w:szCs w:val="24"/>
        </w:rPr>
        <w:t>of</w:t>
      </w:r>
      <w:r w:rsidRPr="004739A5">
        <w:rPr>
          <w:rFonts w:ascii="Times New Roman" w:hAnsi="Times New Roman" w:cs="Times New Roman"/>
          <w:sz w:val="24"/>
          <w:szCs w:val="24"/>
        </w:rPr>
        <w:t xml:space="preserve"> the community property that belonged to the decedent.</w:t>
      </w:r>
    </w:p>
    <w:p w:rsidR="00C63F8B" w:rsidRDefault="00C63F8B" w:rsidP="00F539E2">
      <w:pPr>
        <w:rPr>
          <w:rFonts w:ascii="Times New Roman" w:hAnsi="Times New Roman" w:cs="Times New Roman"/>
          <w:sz w:val="24"/>
          <w:szCs w:val="24"/>
        </w:rPr>
      </w:pPr>
      <w:r>
        <w:rPr>
          <w:rFonts w:ascii="Times New Roman" w:hAnsi="Times New Roman" w:cs="Times New Roman"/>
          <w:sz w:val="24"/>
          <w:szCs w:val="24"/>
        </w:rPr>
        <w:t>If there is no surviving spouse:</w:t>
      </w:r>
    </w:p>
    <w:p w:rsidR="00C63F8B" w:rsidRDefault="00D40B85" w:rsidP="00F539E2">
      <w:pPr>
        <w:rPr>
          <w:rFonts w:ascii="Times New Roman" w:hAnsi="Times New Roman" w:cs="Times New Roman"/>
          <w:sz w:val="24"/>
          <w:szCs w:val="24"/>
        </w:rPr>
      </w:pPr>
      <w:r w:rsidRPr="00C63F8B">
        <w:rPr>
          <w:rFonts w:ascii="Times New Roman" w:hAnsi="Times New Roman" w:cs="Times New Roman"/>
          <w:b/>
          <w:i/>
          <w:sz w:val="24"/>
          <w:szCs w:val="24"/>
        </w:rPr>
        <w:t xml:space="preserve">Ariz. Rev. </w:t>
      </w:r>
      <w:r w:rsidR="00C63F8B">
        <w:rPr>
          <w:rFonts w:ascii="Times New Roman" w:hAnsi="Times New Roman" w:cs="Times New Roman"/>
          <w:b/>
          <w:i/>
          <w:sz w:val="24"/>
          <w:szCs w:val="24"/>
        </w:rPr>
        <w:t>Stat. Ann. § 14-2103</w:t>
      </w:r>
      <w:r w:rsidR="00151F94">
        <w:rPr>
          <w:rFonts w:ascii="Times New Roman" w:hAnsi="Times New Roman" w:cs="Times New Roman"/>
          <w:b/>
          <w:i/>
          <w:sz w:val="24"/>
          <w:szCs w:val="24"/>
        </w:rPr>
        <w:t xml:space="preserve"> </w:t>
      </w:r>
      <w:r w:rsidR="00151F94" w:rsidRPr="00151F94">
        <w:rPr>
          <w:rFonts w:ascii="Times New Roman" w:hAnsi="Times New Roman" w:cs="Times New Roman"/>
          <w:sz w:val="24"/>
          <w:szCs w:val="24"/>
        </w:rPr>
        <w:t>Statute sets forth that</w:t>
      </w:r>
      <w:r w:rsidR="00151F94">
        <w:rPr>
          <w:rFonts w:ascii="Times New Roman" w:hAnsi="Times New Roman" w:cs="Times New Roman"/>
          <w:sz w:val="24"/>
          <w:szCs w:val="24"/>
        </w:rPr>
        <w:t xml:space="preserve"> </w:t>
      </w:r>
      <w:r w:rsidR="0081119C">
        <w:rPr>
          <w:rFonts w:ascii="Times New Roman" w:hAnsi="Times New Roman" w:cs="Times New Roman"/>
          <w:sz w:val="24"/>
          <w:szCs w:val="24"/>
        </w:rPr>
        <w:t xml:space="preserve">any asset or property not passing to the decedents spouse under previous statute 14-2102, </w:t>
      </w:r>
      <w:r w:rsidR="0081119C" w:rsidRPr="0081119C">
        <w:rPr>
          <w:rFonts w:ascii="Times New Roman" w:hAnsi="Times New Roman" w:cs="Times New Roman"/>
          <w:sz w:val="24"/>
          <w:szCs w:val="24"/>
        </w:rPr>
        <w:t xml:space="preserve">passes to the </w:t>
      </w:r>
      <w:r w:rsidR="0081119C">
        <w:rPr>
          <w:rFonts w:ascii="Times New Roman" w:hAnsi="Times New Roman" w:cs="Times New Roman"/>
          <w:sz w:val="24"/>
          <w:szCs w:val="24"/>
        </w:rPr>
        <w:t>other family relative who survive the decedent.</w:t>
      </w:r>
    </w:p>
    <w:p w:rsidR="00C83586" w:rsidRDefault="0089007A" w:rsidP="00F539E2">
      <w:pPr>
        <w:rPr>
          <w:rFonts w:ascii="Times New Roman" w:hAnsi="Times New Roman" w:cs="Times New Roman"/>
          <w:sz w:val="24"/>
          <w:szCs w:val="24"/>
        </w:rPr>
      </w:pPr>
      <w:r>
        <w:rPr>
          <w:rFonts w:ascii="Times New Roman" w:hAnsi="Times New Roman" w:cs="Times New Roman"/>
          <w:sz w:val="24"/>
          <w:szCs w:val="24"/>
        </w:rPr>
        <w:t>Issue of the decedent gets everything</w:t>
      </w:r>
      <w:r w:rsidR="00C83586">
        <w:rPr>
          <w:rFonts w:ascii="Times New Roman" w:hAnsi="Times New Roman" w:cs="Times New Roman"/>
          <w:sz w:val="24"/>
          <w:szCs w:val="24"/>
        </w:rPr>
        <w:t xml:space="preserve"> by representation.</w:t>
      </w:r>
    </w:p>
    <w:p w:rsidR="00C83586" w:rsidRDefault="00C83586" w:rsidP="00F539E2">
      <w:pPr>
        <w:rPr>
          <w:rFonts w:ascii="Times New Roman" w:hAnsi="Times New Roman" w:cs="Times New Roman"/>
          <w:sz w:val="24"/>
          <w:szCs w:val="24"/>
        </w:rPr>
      </w:pPr>
      <w:r>
        <w:rPr>
          <w:rFonts w:ascii="Times New Roman" w:hAnsi="Times New Roman" w:cs="Times New Roman"/>
          <w:sz w:val="24"/>
          <w:szCs w:val="24"/>
        </w:rPr>
        <w:t xml:space="preserve">If there is no surviving issue, to the </w:t>
      </w:r>
      <w:r w:rsidR="00780AA0">
        <w:rPr>
          <w:rFonts w:ascii="Times New Roman" w:hAnsi="Times New Roman" w:cs="Times New Roman"/>
          <w:sz w:val="24"/>
          <w:szCs w:val="24"/>
        </w:rPr>
        <w:t>decedent’s</w:t>
      </w:r>
      <w:r>
        <w:rPr>
          <w:rFonts w:ascii="Times New Roman" w:hAnsi="Times New Roman" w:cs="Times New Roman"/>
          <w:sz w:val="24"/>
          <w:szCs w:val="24"/>
        </w:rPr>
        <w:t xml:space="preserve"> parents. </w:t>
      </w:r>
    </w:p>
    <w:p w:rsidR="006218EC" w:rsidRPr="006218EC" w:rsidRDefault="006218EC" w:rsidP="00F539E2">
      <w:pPr>
        <w:rPr>
          <w:rFonts w:ascii="Times New Roman" w:hAnsi="Times New Roman" w:cs="Times New Roman"/>
          <w:sz w:val="24"/>
          <w:szCs w:val="24"/>
        </w:rPr>
      </w:pPr>
      <w:r>
        <w:rPr>
          <w:rFonts w:ascii="Times New Roman" w:hAnsi="Times New Roman" w:cs="Times New Roman"/>
          <w:sz w:val="24"/>
          <w:szCs w:val="24"/>
        </w:rPr>
        <w:t xml:space="preserve">In The State of New York the laws are quite differ: </w:t>
      </w:r>
      <w:r w:rsidRPr="006218EC">
        <w:rPr>
          <w:rFonts w:ascii="Times New Roman" w:hAnsi="Times New Roman" w:cs="Times New Roman"/>
          <w:b/>
          <w:i/>
          <w:sz w:val="24"/>
          <w:szCs w:val="24"/>
        </w:rPr>
        <w:t xml:space="preserve">N.Y. Est. Powers and Trust Law § 4-1.1 </w:t>
      </w:r>
      <w:r w:rsidRPr="006218EC">
        <w:rPr>
          <w:rFonts w:ascii="Times New Roman" w:hAnsi="Times New Roman" w:cs="Times New Roman"/>
          <w:sz w:val="24"/>
          <w:szCs w:val="24"/>
        </w:rPr>
        <w:t>If the decedent is survived by spouse and issue: the spouse receives the first F</w:t>
      </w:r>
      <w:r>
        <w:rPr>
          <w:rFonts w:ascii="Times New Roman" w:hAnsi="Times New Roman" w:cs="Times New Roman"/>
          <w:sz w:val="24"/>
          <w:szCs w:val="24"/>
        </w:rPr>
        <w:t>ifty Thousand Dollars ($50,000.00) and one-half</w:t>
      </w:r>
      <w:r w:rsidRPr="006218EC">
        <w:rPr>
          <w:rFonts w:ascii="Times New Roman" w:hAnsi="Times New Roman" w:cs="Times New Roman"/>
          <w:sz w:val="24"/>
          <w:szCs w:val="24"/>
        </w:rPr>
        <w:t xml:space="preserve"> of the remainder of the decedent’s estate. The issue collects the rest by </w:t>
      </w:r>
      <w:r w:rsidRPr="006218EC">
        <w:rPr>
          <w:rFonts w:ascii="Times New Roman" w:hAnsi="Times New Roman" w:cs="Times New Roman"/>
          <w:sz w:val="24"/>
          <w:szCs w:val="24"/>
        </w:rPr>
        <w:lastRenderedPageBreak/>
        <w:t>representation</w:t>
      </w:r>
      <w:r>
        <w:rPr>
          <w:rFonts w:ascii="Times New Roman" w:hAnsi="Times New Roman" w:cs="Times New Roman"/>
          <w:sz w:val="24"/>
          <w:szCs w:val="24"/>
        </w:rPr>
        <w:t xml:space="preserve">. </w:t>
      </w:r>
      <w:r w:rsidR="00BB6469">
        <w:rPr>
          <w:rFonts w:ascii="Times New Roman" w:hAnsi="Times New Roman" w:cs="Times New Roman"/>
          <w:sz w:val="24"/>
          <w:szCs w:val="24"/>
        </w:rPr>
        <w:t>If a decedent doesn’t not have a spouse or issue</w:t>
      </w:r>
      <w:r w:rsidR="00F935C0">
        <w:rPr>
          <w:rFonts w:ascii="Times New Roman" w:hAnsi="Times New Roman" w:cs="Times New Roman"/>
          <w:sz w:val="24"/>
          <w:szCs w:val="24"/>
        </w:rPr>
        <w:t>, decedent</w:t>
      </w:r>
      <w:r w:rsidR="00BB6469">
        <w:rPr>
          <w:rFonts w:ascii="Times New Roman" w:hAnsi="Times New Roman" w:cs="Times New Roman"/>
          <w:sz w:val="24"/>
          <w:szCs w:val="24"/>
        </w:rPr>
        <w:t xml:space="preserve"> </w:t>
      </w:r>
      <w:r w:rsidR="00F935C0">
        <w:rPr>
          <w:rFonts w:ascii="Times New Roman" w:hAnsi="Times New Roman" w:cs="Times New Roman"/>
          <w:sz w:val="24"/>
          <w:szCs w:val="24"/>
        </w:rPr>
        <w:t xml:space="preserve">surviving </w:t>
      </w:r>
      <w:r w:rsidR="00BB6469">
        <w:rPr>
          <w:rFonts w:ascii="Times New Roman" w:hAnsi="Times New Roman" w:cs="Times New Roman"/>
          <w:sz w:val="24"/>
          <w:szCs w:val="24"/>
        </w:rPr>
        <w:t xml:space="preserve">parents receive his assets. </w:t>
      </w:r>
    </w:p>
    <w:p w:rsidR="00E14093" w:rsidRDefault="00E14093" w:rsidP="00F539E2">
      <w:pPr>
        <w:rPr>
          <w:rFonts w:ascii="Times New Roman" w:hAnsi="Times New Roman" w:cs="Times New Roman"/>
          <w:sz w:val="24"/>
          <w:szCs w:val="24"/>
        </w:rPr>
      </w:pPr>
    </w:p>
    <w:p w:rsidR="00965EAA" w:rsidRDefault="00DF675C" w:rsidP="00F539E2">
      <w:pPr>
        <w:rPr>
          <w:rFonts w:ascii="Times New Roman" w:hAnsi="Times New Roman" w:cs="Times New Roman"/>
          <w:sz w:val="24"/>
          <w:szCs w:val="24"/>
        </w:rPr>
      </w:pPr>
      <w:r w:rsidRPr="00C63F8B">
        <w:rPr>
          <w:rFonts w:ascii="Times New Roman" w:hAnsi="Times New Roman" w:cs="Times New Roman"/>
          <w:b/>
          <w:i/>
          <w:sz w:val="24"/>
          <w:szCs w:val="24"/>
        </w:rPr>
        <w:t xml:space="preserve">Ariz. Rev. </w:t>
      </w:r>
      <w:r w:rsidR="00916B5A">
        <w:rPr>
          <w:rFonts w:ascii="Times New Roman" w:hAnsi="Times New Roman" w:cs="Times New Roman"/>
          <w:b/>
          <w:i/>
          <w:sz w:val="24"/>
          <w:szCs w:val="24"/>
        </w:rPr>
        <w:t>Stat. Ann. § 14-2503</w:t>
      </w:r>
      <w:r w:rsidR="004F4217">
        <w:rPr>
          <w:rFonts w:ascii="Times New Roman" w:hAnsi="Times New Roman" w:cs="Times New Roman"/>
          <w:sz w:val="24"/>
          <w:szCs w:val="24"/>
        </w:rPr>
        <w:t xml:space="preserve"> </w:t>
      </w:r>
    </w:p>
    <w:p w:rsidR="00780AA0" w:rsidRDefault="004F4217" w:rsidP="00F539E2">
      <w:pPr>
        <w:rPr>
          <w:rFonts w:ascii="Times New Roman" w:hAnsi="Times New Roman" w:cs="Times New Roman"/>
          <w:sz w:val="24"/>
          <w:szCs w:val="24"/>
        </w:rPr>
      </w:pPr>
      <w:r w:rsidRPr="004F4217">
        <w:rPr>
          <w:rFonts w:ascii="Times New Roman" w:hAnsi="Times New Roman" w:cs="Times New Roman"/>
          <w:sz w:val="24"/>
          <w:szCs w:val="24"/>
          <w:u w:val="single"/>
        </w:rPr>
        <w:t>Holographic Wills</w:t>
      </w:r>
      <w:r>
        <w:rPr>
          <w:rFonts w:ascii="Times New Roman" w:hAnsi="Times New Roman" w:cs="Times New Roman"/>
          <w:sz w:val="24"/>
          <w:szCs w:val="24"/>
        </w:rPr>
        <w:t>- whether witnessed or not must be in testators handwriting.</w:t>
      </w:r>
      <w:r w:rsidR="00D55D1B">
        <w:rPr>
          <w:rFonts w:ascii="Times New Roman" w:hAnsi="Times New Roman" w:cs="Times New Roman"/>
          <w:sz w:val="24"/>
          <w:szCs w:val="24"/>
        </w:rPr>
        <w:t xml:space="preserve"> </w:t>
      </w:r>
    </w:p>
    <w:p w:rsidR="00D55D1B" w:rsidRDefault="00D55D1B" w:rsidP="00F539E2">
      <w:pPr>
        <w:rPr>
          <w:rFonts w:ascii="Times New Roman" w:hAnsi="Times New Roman" w:cs="Times New Roman"/>
          <w:sz w:val="24"/>
          <w:szCs w:val="24"/>
        </w:rPr>
      </w:pPr>
      <w:r>
        <w:rPr>
          <w:rFonts w:ascii="Times New Roman" w:hAnsi="Times New Roman" w:cs="Times New Roman"/>
          <w:sz w:val="24"/>
          <w:szCs w:val="24"/>
          <w:u w:val="single"/>
        </w:rPr>
        <w:t>Nuncupative Wills-</w:t>
      </w:r>
      <w:r w:rsidRPr="00D55D1B">
        <w:rPr>
          <w:rFonts w:ascii="Times New Roman" w:hAnsi="Times New Roman" w:cs="Times New Roman"/>
          <w:sz w:val="24"/>
          <w:szCs w:val="24"/>
        </w:rPr>
        <w:t xml:space="preserve">are not permitted in Arizona at all. </w:t>
      </w:r>
    </w:p>
    <w:p w:rsidR="0037453F" w:rsidRDefault="0037453F" w:rsidP="00F539E2">
      <w:pPr>
        <w:rPr>
          <w:rFonts w:ascii="Times New Roman" w:hAnsi="Times New Roman" w:cs="Times New Roman"/>
          <w:sz w:val="24"/>
          <w:szCs w:val="24"/>
        </w:rPr>
      </w:pPr>
      <w:r>
        <w:rPr>
          <w:rFonts w:ascii="Times New Roman" w:hAnsi="Times New Roman" w:cs="Times New Roman"/>
          <w:sz w:val="24"/>
          <w:szCs w:val="24"/>
        </w:rPr>
        <w:t xml:space="preserve">In New York pursuant to </w:t>
      </w:r>
      <w:r w:rsidRPr="0037453F">
        <w:rPr>
          <w:rFonts w:ascii="Times New Roman" w:hAnsi="Times New Roman" w:cs="Times New Roman"/>
          <w:b/>
          <w:i/>
          <w:sz w:val="24"/>
          <w:szCs w:val="24"/>
        </w:rPr>
        <w:t>N.Y. Est. Powers and Trust Law section 3-2.2</w:t>
      </w:r>
      <w:r w:rsidR="00965EAA">
        <w:rPr>
          <w:rFonts w:ascii="Times New Roman" w:hAnsi="Times New Roman" w:cs="Times New Roman"/>
          <w:sz w:val="24"/>
          <w:szCs w:val="24"/>
        </w:rPr>
        <w:t xml:space="preserve"> holographic and nuncupative wills permits three groups of people to validly make these types of wills. Members of the armed forces, on active military duty during a war or other armed conflict, civilians who accompanying the armed forces during a war and mariners. </w:t>
      </w:r>
    </w:p>
    <w:p w:rsidR="00E14093" w:rsidRPr="00E14093" w:rsidRDefault="00E14093" w:rsidP="00E14093">
      <w:pPr>
        <w:pStyle w:val="NoSpacing"/>
        <w:rPr>
          <w:rFonts w:ascii="Times New Roman" w:hAnsi="Times New Roman" w:cs="Times New Roman"/>
        </w:rPr>
      </w:pPr>
      <w:r w:rsidRPr="00E14093">
        <w:rPr>
          <w:rFonts w:ascii="Times New Roman" w:hAnsi="Times New Roman" w:cs="Times New Roman"/>
        </w:rPr>
        <w:t xml:space="preserve">(Explanation of what these wills mean: Holographic Wills-entirely handwritten by the testator but is not properly signed and witnessed. </w:t>
      </w:r>
      <w:r w:rsidR="007938EE" w:rsidRPr="00E14093">
        <w:rPr>
          <w:rFonts w:ascii="Times New Roman" w:hAnsi="Times New Roman" w:cs="Times New Roman"/>
        </w:rPr>
        <w:t>Nuncupative</w:t>
      </w:r>
      <w:r w:rsidRPr="00E14093">
        <w:rPr>
          <w:rFonts w:ascii="Times New Roman" w:hAnsi="Times New Roman" w:cs="Times New Roman"/>
        </w:rPr>
        <w:t xml:space="preserve"> Wills-is an oral will, with at least 2 witnesses who hear the testator speak his will.)</w:t>
      </w:r>
    </w:p>
    <w:p w:rsidR="00275BA6" w:rsidRDefault="00275BA6" w:rsidP="00F539E2">
      <w:pPr>
        <w:rPr>
          <w:rFonts w:ascii="Times New Roman" w:hAnsi="Times New Roman" w:cs="Times New Roman"/>
          <w:sz w:val="24"/>
          <w:szCs w:val="24"/>
        </w:rPr>
      </w:pPr>
    </w:p>
    <w:p w:rsidR="00275BA6" w:rsidRDefault="00BE0F0B" w:rsidP="00F539E2">
      <w:pPr>
        <w:rPr>
          <w:rFonts w:ascii="Times New Roman" w:hAnsi="Times New Roman" w:cs="Times New Roman"/>
          <w:sz w:val="24"/>
          <w:szCs w:val="24"/>
        </w:rPr>
      </w:pPr>
      <w:r w:rsidRPr="00C63F8B">
        <w:rPr>
          <w:rFonts w:ascii="Times New Roman" w:hAnsi="Times New Roman" w:cs="Times New Roman"/>
          <w:b/>
          <w:i/>
          <w:sz w:val="24"/>
          <w:szCs w:val="24"/>
        </w:rPr>
        <w:t xml:space="preserve">Ariz. Rev. </w:t>
      </w:r>
      <w:r w:rsidR="00CB4489">
        <w:rPr>
          <w:rFonts w:ascii="Times New Roman" w:hAnsi="Times New Roman" w:cs="Times New Roman"/>
          <w:b/>
          <w:i/>
          <w:sz w:val="24"/>
          <w:szCs w:val="24"/>
        </w:rPr>
        <w:t>Stat. Ann. § 14-2505</w:t>
      </w:r>
      <w:r w:rsidR="00A56F4B">
        <w:rPr>
          <w:rFonts w:ascii="Times New Roman" w:hAnsi="Times New Roman" w:cs="Times New Roman"/>
          <w:b/>
          <w:i/>
          <w:sz w:val="24"/>
          <w:szCs w:val="24"/>
        </w:rPr>
        <w:t xml:space="preserve"> </w:t>
      </w:r>
      <w:r w:rsidR="00A56F4B">
        <w:rPr>
          <w:rFonts w:ascii="Times New Roman" w:hAnsi="Times New Roman" w:cs="Times New Roman"/>
          <w:sz w:val="24"/>
          <w:szCs w:val="24"/>
        </w:rPr>
        <w:t xml:space="preserve">any competent person may be a witness to a will. The signing ceremony by an interested person doesn’t automatically invalidate the will. The will requires two witnesses. </w:t>
      </w:r>
    </w:p>
    <w:p w:rsidR="00367F50" w:rsidRPr="00367F50" w:rsidRDefault="00367F50" w:rsidP="00F539E2">
      <w:pPr>
        <w:rPr>
          <w:rFonts w:ascii="Times New Roman" w:hAnsi="Times New Roman" w:cs="Times New Roman"/>
          <w:sz w:val="24"/>
          <w:szCs w:val="24"/>
        </w:rPr>
      </w:pPr>
      <w:r>
        <w:rPr>
          <w:rFonts w:ascii="Times New Roman" w:hAnsi="Times New Roman" w:cs="Times New Roman"/>
          <w:sz w:val="24"/>
          <w:szCs w:val="24"/>
        </w:rPr>
        <w:t xml:space="preserve">In New York State </w:t>
      </w:r>
      <w:r w:rsidRPr="00367F50">
        <w:rPr>
          <w:rFonts w:ascii="Times New Roman" w:hAnsi="Times New Roman" w:cs="Times New Roman"/>
          <w:b/>
          <w:i/>
          <w:sz w:val="24"/>
          <w:szCs w:val="24"/>
        </w:rPr>
        <w:t>N.Y. Est. Powers and Trust Law section 3-2.1</w:t>
      </w:r>
      <w:r>
        <w:rPr>
          <w:rFonts w:ascii="Times New Roman" w:hAnsi="Times New Roman" w:cs="Times New Roman"/>
          <w:b/>
          <w:i/>
          <w:sz w:val="24"/>
          <w:szCs w:val="24"/>
        </w:rPr>
        <w:t xml:space="preserve">, </w:t>
      </w:r>
      <w:r w:rsidR="00C339EA">
        <w:rPr>
          <w:rFonts w:ascii="Times New Roman" w:hAnsi="Times New Roman" w:cs="Times New Roman"/>
          <w:sz w:val="24"/>
          <w:szCs w:val="24"/>
        </w:rPr>
        <w:t xml:space="preserve">at least two witnesses are required. </w:t>
      </w:r>
      <w:proofErr w:type="gramStart"/>
      <w:r w:rsidR="00C339EA">
        <w:rPr>
          <w:rFonts w:ascii="Times New Roman" w:hAnsi="Times New Roman" w:cs="Times New Roman"/>
          <w:sz w:val="24"/>
          <w:szCs w:val="24"/>
        </w:rPr>
        <w:t>Although lawyers prefer three.</w:t>
      </w:r>
      <w:proofErr w:type="gramEnd"/>
      <w:r w:rsidR="00C339EA">
        <w:rPr>
          <w:rFonts w:ascii="Times New Roman" w:hAnsi="Times New Roman" w:cs="Times New Roman"/>
          <w:sz w:val="24"/>
          <w:szCs w:val="24"/>
        </w:rPr>
        <w:t xml:space="preserve"> </w:t>
      </w:r>
    </w:p>
    <w:p w:rsidR="007F100B" w:rsidRDefault="00A7533B" w:rsidP="00F539E2">
      <w:pPr>
        <w:rPr>
          <w:rFonts w:ascii="Times New Roman" w:hAnsi="Times New Roman" w:cs="Times New Roman"/>
          <w:sz w:val="24"/>
          <w:szCs w:val="24"/>
        </w:rPr>
      </w:pPr>
      <w:r w:rsidRPr="00F451CA">
        <w:rPr>
          <w:rFonts w:ascii="Times New Roman" w:hAnsi="Times New Roman" w:cs="Times New Roman"/>
          <w:sz w:val="24"/>
          <w:szCs w:val="24"/>
        </w:rPr>
        <w:t>The second most populated city in Arizona is</w:t>
      </w:r>
      <w:r w:rsidR="007F100B" w:rsidRPr="00F451CA">
        <w:rPr>
          <w:rFonts w:ascii="Times New Roman" w:hAnsi="Times New Roman" w:cs="Times New Roman"/>
          <w:sz w:val="24"/>
          <w:szCs w:val="24"/>
        </w:rPr>
        <w:t xml:space="preserve"> Tucson with a population approximately of</w:t>
      </w:r>
      <w:r w:rsidR="009D04AD" w:rsidRPr="00F451CA">
        <w:rPr>
          <w:rFonts w:ascii="Times New Roman" w:hAnsi="Times New Roman" w:cs="Times New Roman"/>
          <w:sz w:val="24"/>
          <w:szCs w:val="24"/>
        </w:rPr>
        <w:t xml:space="preserve"> </w:t>
      </w:r>
      <w:r w:rsidR="007F100B" w:rsidRPr="00F451CA">
        <w:rPr>
          <w:rFonts w:ascii="Times New Roman" w:hAnsi="Times New Roman" w:cs="Times New Roman"/>
          <w:color w:val="333333"/>
          <w:sz w:val="24"/>
          <w:szCs w:val="24"/>
          <w:shd w:val="clear" w:color="auto" w:fill="FFFFFF"/>
        </w:rPr>
        <w:t>524,295 according to</w:t>
      </w:r>
      <w:r w:rsidR="009D04AD" w:rsidRPr="00F451CA">
        <w:rPr>
          <w:rFonts w:ascii="Times New Roman" w:hAnsi="Times New Roman" w:cs="Times New Roman"/>
          <w:color w:val="333333"/>
          <w:sz w:val="24"/>
          <w:szCs w:val="24"/>
          <w:shd w:val="clear" w:color="auto" w:fill="FFFFFF"/>
        </w:rPr>
        <w:t xml:space="preserve"> </w:t>
      </w:r>
      <w:r w:rsidR="007F100B" w:rsidRPr="00F451CA">
        <w:rPr>
          <w:rFonts w:ascii="Times New Roman" w:hAnsi="Times New Roman" w:cs="Times New Roman"/>
          <w:sz w:val="24"/>
          <w:szCs w:val="24"/>
        </w:rPr>
        <w:t>U.S. Census Quick Facts website (</w:t>
      </w:r>
      <w:hyperlink r:id="rId9" w:history="1">
        <w:r w:rsidR="005B0C4D" w:rsidRPr="00C821A1">
          <w:rPr>
            <w:rStyle w:val="Hyperlink"/>
            <w:rFonts w:ascii="Times New Roman" w:hAnsi="Times New Roman" w:cs="Times New Roman"/>
            <w:sz w:val="24"/>
            <w:szCs w:val="24"/>
          </w:rPr>
          <w:t>http://quickfacts.census.gov/qfd/states/04/0477000.html</w:t>
        </w:r>
      </w:hyperlink>
      <w:r w:rsidR="007F100B" w:rsidRPr="00F451CA">
        <w:rPr>
          <w:rFonts w:ascii="Times New Roman" w:hAnsi="Times New Roman" w:cs="Times New Roman"/>
          <w:sz w:val="24"/>
          <w:szCs w:val="24"/>
        </w:rPr>
        <w:t>)</w:t>
      </w:r>
    </w:p>
    <w:p w:rsidR="005B0C4D" w:rsidRDefault="005B0C4D" w:rsidP="00F539E2">
      <w:pPr>
        <w:rPr>
          <w:rFonts w:ascii="Times New Roman" w:hAnsi="Times New Roman" w:cs="Times New Roman"/>
          <w:sz w:val="24"/>
          <w:szCs w:val="24"/>
        </w:rPr>
      </w:pPr>
    </w:p>
    <w:p w:rsidR="005B0C4D" w:rsidRDefault="005B0C4D" w:rsidP="00076F1B">
      <w:pPr>
        <w:spacing w:line="360" w:lineRule="auto"/>
        <w:rPr>
          <w:rFonts w:ascii="Times New Roman" w:hAnsi="Times New Roman" w:cs="Times New Roman"/>
          <w:sz w:val="24"/>
          <w:szCs w:val="24"/>
        </w:rPr>
      </w:pPr>
      <w:r w:rsidRPr="009B6F84">
        <w:rPr>
          <w:rFonts w:ascii="Arial" w:hAnsi="Arial" w:cs="Arial"/>
          <w:i/>
          <w:sz w:val="24"/>
          <w:szCs w:val="24"/>
          <w:u w:val="single"/>
        </w:rPr>
        <w:t xml:space="preserve">VALENTINE &amp; VALENTINE, </w:t>
      </w:r>
      <w:r w:rsidR="0013152D" w:rsidRPr="009B6F84">
        <w:rPr>
          <w:rFonts w:ascii="Arial" w:hAnsi="Arial" w:cs="Arial"/>
          <w:i/>
          <w:sz w:val="24"/>
          <w:szCs w:val="24"/>
          <w:u w:val="single"/>
        </w:rPr>
        <w:t>PC</w:t>
      </w:r>
      <w:r w:rsidR="0013152D" w:rsidRPr="0013152D">
        <w:rPr>
          <w:rFonts w:ascii="Times New Roman" w:hAnsi="Times New Roman" w:cs="Times New Roman"/>
          <w:sz w:val="24"/>
          <w:szCs w:val="24"/>
        </w:rPr>
        <w:t xml:space="preserve"> This</w:t>
      </w:r>
      <w:r w:rsidR="00076F1B">
        <w:rPr>
          <w:rFonts w:ascii="Times New Roman" w:hAnsi="Times New Roman" w:cs="Times New Roman"/>
          <w:sz w:val="24"/>
          <w:szCs w:val="24"/>
        </w:rPr>
        <w:t xml:space="preserve"> is how the firm represents themselves: “</w:t>
      </w:r>
      <w:r w:rsidR="00076F1B" w:rsidRPr="00076F1B">
        <w:rPr>
          <w:rFonts w:ascii="Times New Roman" w:hAnsi="Times New Roman" w:cs="Times New Roman"/>
          <w:sz w:val="24"/>
          <w:szCs w:val="24"/>
        </w:rPr>
        <w:t>You have worked hard all your life to accumulate personal assets and we want to ensure that you pass on your legacy to your family at the right time and in the manner you desire, rather than have your hard-earned assets be consumed by estate taxes, creditors, predators and probate expenses. Our goal is to ensure that you have a solid plan to protect your family, wealth and legacy</w:t>
      </w:r>
      <w:r w:rsidR="00076F1B">
        <w:rPr>
          <w:rFonts w:ascii="Times New Roman" w:hAnsi="Times New Roman" w:cs="Times New Roman"/>
          <w:sz w:val="24"/>
          <w:szCs w:val="24"/>
        </w:rPr>
        <w:t>”</w:t>
      </w:r>
      <w:r w:rsidR="00076F1B" w:rsidRPr="00076F1B">
        <w:rPr>
          <w:rFonts w:ascii="Times New Roman" w:hAnsi="Times New Roman" w:cs="Times New Roman"/>
          <w:sz w:val="24"/>
          <w:szCs w:val="24"/>
        </w:rPr>
        <w:t>.</w:t>
      </w:r>
      <w:r w:rsidR="00CF1B56">
        <w:rPr>
          <w:rFonts w:ascii="Times New Roman" w:hAnsi="Times New Roman" w:cs="Times New Roman"/>
          <w:sz w:val="24"/>
          <w:szCs w:val="24"/>
        </w:rPr>
        <w:t xml:space="preserve"> </w:t>
      </w:r>
      <w:r w:rsidR="0060785D">
        <w:rPr>
          <w:rFonts w:ascii="Times New Roman" w:hAnsi="Times New Roman" w:cs="Times New Roman"/>
          <w:sz w:val="24"/>
          <w:szCs w:val="24"/>
        </w:rPr>
        <w:t xml:space="preserve"> T</w:t>
      </w:r>
      <w:r w:rsidR="0060785D" w:rsidRPr="0060785D">
        <w:rPr>
          <w:rFonts w:ascii="Times New Roman" w:hAnsi="Times New Roman" w:cs="Times New Roman"/>
          <w:sz w:val="24"/>
          <w:szCs w:val="24"/>
        </w:rPr>
        <w:t>hey specialize in specialties are in wills &amp; trusts, estate planning, asset protection, probates, conservatorship, guardianship, real estate, business law, prenuptials and ant nuptials.</w:t>
      </w:r>
      <w:r w:rsidR="0013152D">
        <w:rPr>
          <w:rFonts w:ascii="Times New Roman" w:hAnsi="Times New Roman" w:cs="Times New Roman"/>
          <w:sz w:val="24"/>
          <w:szCs w:val="24"/>
        </w:rPr>
        <w:t xml:space="preserve"> (</w:t>
      </w:r>
      <w:hyperlink r:id="rId10" w:history="1">
        <w:r w:rsidR="0013152D" w:rsidRPr="00C821A1">
          <w:rPr>
            <w:rStyle w:val="Hyperlink"/>
            <w:rFonts w:ascii="Times New Roman" w:hAnsi="Times New Roman" w:cs="Times New Roman"/>
            <w:sz w:val="24"/>
            <w:szCs w:val="24"/>
          </w:rPr>
          <w:t>http://valentineandvalentine.com/</w:t>
        </w:r>
      </w:hyperlink>
      <w:r w:rsidR="0013152D">
        <w:rPr>
          <w:rFonts w:ascii="Times New Roman" w:hAnsi="Times New Roman" w:cs="Times New Roman"/>
          <w:sz w:val="24"/>
          <w:szCs w:val="24"/>
        </w:rPr>
        <w:t xml:space="preserve">)  </w:t>
      </w:r>
    </w:p>
    <w:p w:rsidR="0049021A" w:rsidRDefault="003E1017" w:rsidP="00076F1B">
      <w:pPr>
        <w:spacing w:line="360" w:lineRule="auto"/>
        <w:rPr>
          <w:rFonts w:ascii="Times New Roman" w:hAnsi="Times New Roman" w:cs="Times New Roman"/>
          <w:sz w:val="24"/>
          <w:szCs w:val="24"/>
        </w:rPr>
      </w:pPr>
      <w:r>
        <w:rPr>
          <w:rFonts w:ascii="Arial" w:hAnsi="Arial" w:cs="Arial"/>
          <w:sz w:val="24"/>
          <w:szCs w:val="24"/>
          <w:u w:val="single"/>
        </w:rPr>
        <w:lastRenderedPageBreak/>
        <w:t>WOOD LAW FIRM, PLLC</w:t>
      </w:r>
      <w:r>
        <w:rPr>
          <w:rFonts w:ascii="Times New Roman" w:hAnsi="Times New Roman" w:cs="Times New Roman"/>
          <w:sz w:val="24"/>
          <w:szCs w:val="24"/>
        </w:rPr>
        <w:t xml:space="preserve"> </w:t>
      </w:r>
      <w:proofErr w:type="gramStart"/>
      <w:r w:rsidR="003E501D">
        <w:rPr>
          <w:rFonts w:ascii="Times New Roman" w:hAnsi="Times New Roman" w:cs="Times New Roman"/>
          <w:sz w:val="24"/>
          <w:szCs w:val="24"/>
        </w:rPr>
        <w:t>This</w:t>
      </w:r>
      <w:proofErr w:type="gramEnd"/>
      <w:r w:rsidR="003E501D">
        <w:rPr>
          <w:rFonts w:ascii="Times New Roman" w:hAnsi="Times New Roman" w:cs="Times New Roman"/>
          <w:sz w:val="24"/>
          <w:szCs w:val="24"/>
        </w:rPr>
        <w:t xml:space="preserve"> is how the firm represent themselves: “W</w:t>
      </w:r>
      <w:r w:rsidR="003E501D" w:rsidRPr="003E501D">
        <w:rPr>
          <w:rFonts w:ascii="Times New Roman" w:hAnsi="Times New Roman" w:cs="Times New Roman"/>
          <w:sz w:val="24"/>
          <w:szCs w:val="24"/>
        </w:rPr>
        <w:t>e are committed to providing affordable legal services including estate planning, wills, probate, guardianship, conservatorship and elder law matters to those in Tucson and the surrounding community</w:t>
      </w:r>
      <w:r w:rsidR="003E501D">
        <w:rPr>
          <w:rFonts w:ascii="Times New Roman" w:hAnsi="Times New Roman" w:cs="Times New Roman"/>
          <w:sz w:val="24"/>
          <w:szCs w:val="24"/>
        </w:rPr>
        <w:t>”.</w:t>
      </w:r>
      <w:r w:rsidR="003E501D" w:rsidRPr="003E501D">
        <w:rPr>
          <w:rFonts w:ascii="Times New Roman" w:hAnsi="Times New Roman" w:cs="Times New Roman"/>
          <w:sz w:val="24"/>
          <w:szCs w:val="24"/>
        </w:rPr>
        <w:t xml:space="preserve"> </w:t>
      </w:r>
      <w:r w:rsidR="00771328">
        <w:rPr>
          <w:rFonts w:ascii="Times New Roman" w:hAnsi="Times New Roman" w:cs="Times New Roman"/>
          <w:sz w:val="24"/>
          <w:szCs w:val="24"/>
        </w:rPr>
        <w:t>(</w:t>
      </w:r>
      <w:hyperlink r:id="rId11" w:history="1">
        <w:r w:rsidR="00771328" w:rsidRPr="00C821A1">
          <w:rPr>
            <w:rStyle w:val="Hyperlink"/>
            <w:rFonts w:ascii="Times New Roman" w:hAnsi="Times New Roman" w:cs="Times New Roman"/>
            <w:sz w:val="24"/>
            <w:szCs w:val="24"/>
          </w:rPr>
          <w:t>http://www.woodlegal.com/</w:t>
        </w:r>
      </w:hyperlink>
      <w:r w:rsidR="00771328">
        <w:rPr>
          <w:rFonts w:ascii="Times New Roman" w:hAnsi="Times New Roman" w:cs="Times New Roman"/>
          <w:sz w:val="24"/>
          <w:szCs w:val="24"/>
        </w:rPr>
        <w:t xml:space="preserve">) </w:t>
      </w:r>
    </w:p>
    <w:p w:rsidR="00CE64BC" w:rsidRDefault="006E7190" w:rsidP="00076F1B">
      <w:pPr>
        <w:spacing w:line="360" w:lineRule="auto"/>
        <w:rPr>
          <w:rFonts w:ascii="Times New Roman" w:hAnsi="Times New Roman" w:cs="Times New Roman"/>
          <w:color w:val="333333"/>
          <w:sz w:val="24"/>
          <w:szCs w:val="24"/>
          <w:shd w:val="clear" w:color="auto" w:fill="FFFFFF"/>
        </w:rPr>
      </w:pPr>
      <w:r w:rsidRPr="006E7190">
        <w:rPr>
          <w:rFonts w:ascii="Arial" w:hAnsi="Arial" w:cs="Arial"/>
          <w:sz w:val="24"/>
          <w:szCs w:val="24"/>
          <w:u w:val="single"/>
        </w:rPr>
        <w:t>TUCSON REAL ESTATE APPRAISER</w:t>
      </w:r>
      <w:r>
        <w:rPr>
          <w:rFonts w:ascii="Arial" w:hAnsi="Arial" w:cs="Arial"/>
          <w:sz w:val="24"/>
          <w:szCs w:val="24"/>
        </w:rPr>
        <w:t xml:space="preserve">, </w:t>
      </w:r>
      <w:r w:rsidRPr="006E7190">
        <w:rPr>
          <w:rFonts w:ascii="Times New Roman" w:hAnsi="Times New Roman" w:cs="Times New Roman"/>
          <w:sz w:val="24"/>
          <w:szCs w:val="24"/>
        </w:rPr>
        <w:t>Founded in 1986, Tucson Real Estate Appraisal is a leading provider of real estate valuations and consulting services. We take pride in offering world-class appraisal customer service, quick turnaround times, and only the highest quality appraisals. Our valuations are supported by primary market research, objective analysis, and seasoned judgment to better guide our clients in their property evaluation needs. Our reports are prepared with the precision that the industry demands. Best of all, our appraisal services are competitively priced.</w:t>
      </w:r>
      <w:r w:rsidR="00CE64BC">
        <w:rPr>
          <w:rFonts w:ascii="Times New Roman" w:hAnsi="Times New Roman" w:cs="Times New Roman"/>
          <w:sz w:val="24"/>
          <w:szCs w:val="24"/>
        </w:rPr>
        <w:t xml:space="preserve">  </w:t>
      </w:r>
      <w:r w:rsidR="00CE64BC" w:rsidRPr="00CE64BC">
        <w:rPr>
          <w:rFonts w:ascii="Times New Roman" w:hAnsi="Times New Roman" w:cs="Times New Roman"/>
          <w:color w:val="333333"/>
          <w:sz w:val="24"/>
          <w:szCs w:val="24"/>
          <w:shd w:val="clear" w:color="auto" w:fill="FFFFFF"/>
        </w:rPr>
        <w:t>Call Jeffrey C. Patch, MAI, SRA at (520) 326-6066</w:t>
      </w:r>
    </w:p>
    <w:p w:rsidR="00CE64BC" w:rsidRDefault="00CE64BC" w:rsidP="00076F1B">
      <w:pPr>
        <w:spacing w:line="360" w:lineRule="auto"/>
        <w:rPr>
          <w:rFonts w:ascii="Times New Roman" w:hAnsi="Times New Roman" w:cs="Times New Roman"/>
          <w:sz w:val="24"/>
          <w:szCs w:val="24"/>
        </w:rPr>
      </w:pPr>
      <w:r>
        <w:rPr>
          <w:rFonts w:ascii="Times New Roman" w:hAnsi="Times New Roman" w:cs="Times New Roman"/>
          <w:sz w:val="24"/>
          <w:szCs w:val="24"/>
        </w:rPr>
        <w:t>(</w:t>
      </w:r>
      <w:hyperlink r:id="rId12" w:history="1">
        <w:r w:rsidRPr="00C821A1">
          <w:rPr>
            <w:rStyle w:val="Hyperlink"/>
            <w:rFonts w:ascii="Times New Roman" w:hAnsi="Times New Roman" w:cs="Times New Roman"/>
            <w:sz w:val="24"/>
            <w:szCs w:val="24"/>
          </w:rPr>
          <w:t>http://tucsonrealestateappraisal.com/home/</w:t>
        </w:r>
      </w:hyperlink>
      <w:r>
        <w:rPr>
          <w:rFonts w:ascii="Times New Roman" w:hAnsi="Times New Roman" w:cs="Times New Roman"/>
          <w:sz w:val="24"/>
          <w:szCs w:val="24"/>
        </w:rPr>
        <w:t xml:space="preserve">) </w:t>
      </w:r>
    </w:p>
    <w:p w:rsidR="00832091" w:rsidRDefault="002933DA" w:rsidP="00790946">
      <w:pPr>
        <w:spacing w:line="360" w:lineRule="auto"/>
        <w:rPr>
          <w:rFonts w:ascii="Times New Roman" w:hAnsi="Times New Roman" w:cs="Times New Roman"/>
          <w:sz w:val="24"/>
          <w:szCs w:val="24"/>
        </w:rPr>
      </w:pPr>
      <w:hyperlink r:id="rId13" w:history="1">
        <w:r w:rsidR="00790946" w:rsidRPr="00C821A1">
          <w:rPr>
            <w:rStyle w:val="Hyperlink"/>
            <w:rFonts w:ascii="Times New Roman" w:hAnsi="Times New Roman" w:cs="Times New Roman"/>
            <w:sz w:val="24"/>
            <w:szCs w:val="24"/>
          </w:rPr>
          <w:t>http://www.sc.pima.gov/</w:t>
        </w:r>
      </w:hyperlink>
      <w:r w:rsidR="00790946">
        <w:rPr>
          <w:rFonts w:ascii="Times New Roman" w:hAnsi="Times New Roman" w:cs="Times New Roman"/>
          <w:sz w:val="24"/>
          <w:szCs w:val="24"/>
        </w:rPr>
        <w:t xml:space="preserve"> Arizona Superior Court in Pima County probates wills in Tucson, Arizona. The address of the </w:t>
      </w:r>
      <w:r w:rsidR="00790946" w:rsidRPr="00790946">
        <w:rPr>
          <w:rFonts w:ascii="Times New Roman" w:hAnsi="Times New Roman" w:cs="Times New Roman"/>
          <w:sz w:val="24"/>
          <w:szCs w:val="24"/>
        </w:rPr>
        <w:t>Arizon</w:t>
      </w:r>
      <w:r w:rsidR="00790946">
        <w:rPr>
          <w:rFonts w:ascii="Times New Roman" w:hAnsi="Times New Roman" w:cs="Times New Roman"/>
          <w:sz w:val="24"/>
          <w:szCs w:val="24"/>
        </w:rPr>
        <w:t xml:space="preserve">a Superior Court in Pima County is at </w:t>
      </w:r>
      <w:r w:rsidR="00790946" w:rsidRPr="00790946">
        <w:rPr>
          <w:rFonts w:ascii="Times New Roman" w:hAnsi="Times New Roman" w:cs="Times New Roman"/>
          <w:sz w:val="24"/>
          <w:szCs w:val="24"/>
        </w:rPr>
        <w:t>110 W.</w:t>
      </w:r>
      <w:r w:rsidR="00790946">
        <w:rPr>
          <w:rFonts w:ascii="Times New Roman" w:hAnsi="Times New Roman" w:cs="Times New Roman"/>
          <w:sz w:val="24"/>
          <w:szCs w:val="24"/>
        </w:rPr>
        <w:t xml:space="preserve"> Congress St., Tucson, AZ 85701. Phone number: </w:t>
      </w:r>
      <w:r w:rsidR="00790946" w:rsidRPr="00790946">
        <w:rPr>
          <w:rFonts w:ascii="Times New Roman" w:hAnsi="Times New Roman" w:cs="Times New Roman"/>
          <w:sz w:val="24"/>
          <w:szCs w:val="24"/>
        </w:rPr>
        <w:t>(520) 724-4200</w:t>
      </w:r>
      <w:r w:rsidR="00790946">
        <w:rPr>
          <w:rFonts w:ascii="Times New Roman" w:hAnsi="Times New Roman" w:cs="Times New Roman"/>
          <w:sz w:val="24"/>
          <w:szCs w:val="24"/>
        </w:rPr>
        <w:t>.</w:t>
      </w:r>
    </w:p>
    <w:p w:rsidR="00CA7BB0" w:rsidRDefault="00CA7BB0" w:rsidP="00CA7BB0">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59600" cy="1440180"/>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g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5791" cy="1444730"/>
                    </a:xfrm>
                    <a:prstGeom prst="rect">
                      <a:avLst/>
                    </a:prstGeom>
                  </pic:spPr>
                </pic:pic>
              </a:graphicData>
            </a:graphic>
          </wp:inline>
        </w:drawing>
      </w:r>
    </w:p>
    <w:p w:rsidR="00CA7BB0" w:rsidRDefault="00CA7BB0" w:rsidP="00790946">
      <w:pPr>
        <w:spacing w:line="360" w:lineRule="auto"/>
        <w:rPr>
          <w:rFonts w:ascii="Times New Roman" w:hAnsi="Times New Roman" w:cs="Times New Roman"/>
          <w:sz w:val="24"/>
          <w:szCs w:val="24"/>
        </w:rPr>
      </w:pPr>
    </w:p>
    <w:p w:rsidR="00070E55" w:rsidRPr="00CE64BC" w:rsidRDefault="00D03C5C" w:rsidP="00790946">
      <w:pPr>
        <w:spacing w:line="360" w:lineRule="auto"/>
        <w:rPr>
          <w:rFonts w:ascii="Times New Roman" w:hAnsi="Times New Roman" w:cs="Times New Roman"/>
          <w:sz w:val="24"/>
          <w:szCs w:val="24"/>
        </w:rPr>
      </w:pPr>
      <w:r w:rsidRPr="00D03C5C">
        <w:rPr>
          <w:rFonts w:ascii="Times New Roman" w:hAnsi="Times New Roman" w:cs="Times New Roman"/>
          <w:sz w:val="24"/>
          <w:szCs w:val="24"/>
        </w:rPr>
        <w:t xml:space="preserve">A student can </w:t>
      </w:r>
      <w:r w:rsidR="008770F5">
        <w:rPr>
          <w:rFonts w:ascii="Times New Roman" w:hAnsi="Times New Roman" w:cs="Times New Roman"/>
          <w:sz w:val="24"/>
          <w:szCs w:val="24"/>
        </w:rPr>
        <w:t>b</w:t>
      </w:r>
      <w:r w:rsidR="008770F5" w:rsidRPr="008770F5">
        <w:rPr>
          <w:rFonts w:ascii="Times New Roman" w:hAnsi="Times New Roman" w:cs="Times New Roman"/>
          <w:sz w:val="24"/>
          <w:szCs w:val="24"/>
        </w:rPr>
        <w:t>ecome a paralegal or legal assistant, title examiner, trust officer, contract clerk, legal investi</w:t>
      </w:r>
      <w:r w:rsidR="008770F5">
        <w:rPr>
          <w:rFonts w:ascii="Times New Roman" w:hAnsi="Times New Roman" w:cs="Times New Roman"/>
          <w:sz w:val="24"/>
          <w:szCs w:val="24"/>
        </w:rPr>
        <w:t xml:space="preserve">gator or law firm administrator from attending </w:t>
      </w:r>
      <w:r>
        <w:rPr>
          <w:rFonts w:ascii="Times New Roman" w:hAnsi="Times New Roman" w:cs="Times New Roman"/>
          <w:sz w:val="24"/>
          <w:szCs w:val="24"/>
        </w:rPr>
        <w:t>Pima</w:t>
      </w:r>
      <w:r w:rsidR="008770F5">
        <w:rPr>
          <w:rFonts w:ascii="Times New Roman" w:hAnsi="Times New Roman" w:cs="Times New Roman"/>
          <w:sz w:val="24"/>
          <w:szCs w:val="24"/>
        </w:rPr>
        <w:t xml:space="preserve"> </w:t>
      </w:r>
      <w:r>
        <w:rPr>
          <w:rFonts w:ascii="Times New Roman" w:hAnsi="Times New Roman" w:cs="Times New Roman"/>
          <w:sz w:val="24"/>
          <w:szCs w:val="24"/>
        </w:rPr>
        <w:t xml:space="preserve">Community College. </w:t>
      </w:r>
      <w:hyperlink r:id="rId15" w:history="1">
        <w:r w:rsidR="00D16559" w:rsidRPr="00C821A1">
          <w:rPr>
            <w:rStyle w:val="Hyperlink"/>
            <w:rFonts w:ascii="Times New Roman" w:hAnsi="Times New Roman" w:cs="Times New Roman"/>
            <w:sz w:val="24"/>
            <w:szCs w:val="24"/>
          </w:rPr>
          <w:t>http://www.pima.edu/</w:t>
        </w:r>
      </w:hyperlink>
      <w:r w:rsidR="00D16559">
        <w:rPr>
          <w:rFonts w:ascii="Times New Roman" w:hAnsi="Times New Roman" w:cs="Times New Roman"/>
          <w:sz w:val="24"/>
          <w:szCs w:val="24"/>
        </w:rPr>
        <w:t xml:space="preserve"> </w:t>
      </w:r>
      <w:r w:rsidR="00970B6C">
        <w:rPr>
          <w:rFonts w:ascii="Times New Roman" w:hAnsi="Times New Roman" w:cs="Times New Roman"/>
          <w:sz w:val="24"/>
          <w:szCs w:val="24"/>
        </w:rPr>
        <w:t xml:space="preserve">, </w:t>
      </w:r>
      <w:r w:rsidR="00970B6C" w:rsidRPr="00970B6C">
        <w:rPr>
          <w:rFonts w:ascii="Times New Roman" w:hAnsi="Times New Roman" w:cs="Times New Roman"/>
          <w:sz w:val="24"/>
          <w:szCs w:val="24"/>
        </w:rPr>
        <w:t>which is not an ABA accredited program</w:t>
      </w:r>
      <w:r w:rsidR="00970B6C">
        <w:rPr>
          <w:rFonts w:ascii="Times New Roman" w:hAnsi="Times New Roman" w:cs="Times New Roman"/>
          <w:sz w:val="24"/>
          <w:szCs w:val="24"/>
        </w:rPr>
        <w:t xml:space="preserve">. </w:t>
      </w:r>
      <w:r w:rsidR="00AD55CC">
        <w:rPr>
          <w:rFonts w:ascii="Times New Roman" w:hAnsi="Times New Roman" w:cs="Times New Roman"/>
          <w:sz w:val="24"/>
          <w:szCs w:val="24"/>
        </w:rPr>
        <w:t xml:space="preserve">Program requires </w:t>
      </w:r>
      <w:r w:rsidR="00BA042B">
        <w:rPr>
          <w:rFonts w:ascii="Times New Roman" w:hAnsi="Times New Roman" w:cs="Times New Roman"/>
          <w:sz w:val="24"/>
          <w:szCs w:val="24"/>
        </w:rPr>
        <w:t>completing</w:t>
      </w:r>
      <w:r w:rsidR="00AD55CC">
        <w:rPr>
          <w:rFonts w:ascii="Times New Roman" w:hAnsi="Times New Roman" w:cs="Times New Roman"/>
          <w:sz w:val="24"/>
          <w:szCs w:val="24"/>
        </w:rPr>
        <w:t xml:space="preserve"> 66 credits in order to receive a</w:t>
      </w:r>
      <w:r w:rsidR="00E51421">
        <w:rPr>
          <w:rFonts w:ascii="Times New Roman" w:hAnsi="Times New Roman" w:cs="Times New Roman"/>
          <w:sz w:val="24"/>
          <w:szCs w:val="24"/>
        </w:rPr>
        <w:t>n Associate</w:t>
      </w:r>
      <w:r w:rsidR="00AD55CC">
        <w:rPr>
          <w:rFonts w:ascii="Times New Roman" w:hAnsi="Times New Roman" w:cs="Times New Roman"/>
          <w:sz w:val="24"/>
          <w:szCs w:val="24"/>
        </w:rPr>
        <w:t xml:space="preserve"> d</w:t>
      </w:r>
      <w:r w:rsidR="00E51421">
        <w:rPr>
          <w:rFonts w:ascii="Times New Roman" w:hAnsi="Times New Roman" w:cs="Times New Roman"/>
          <w:sz w:val="24"/>
          <w:szCs w:val="24"/>
        </w:rPr>
        <w:t>egree</w:t>
      </w:r>
      <w:r w:rsidR="00AD55CC">
        <w:rPr>
          <w:rFonts w:ascii="Times New Roman" w:hAnsi="Times New Roman" w:cs="Times New Roman"/>
          <w:sz w:val="24"/>
          <w:szCs w:val="24"/>
        </w:rPr>
        <w:t xml:space="preserve">. </w:t>
      </w:r>
      <w:r w:rsidR="00BA042B">
        <w:rPr>
          <w:rFonts w:ascii="Times New Roman" w:hAnsi="Times New Roman" w:cs="Times New Roman"/>
          <w:sz w:val="24"/>
          <w:szCs w:val="24"/>
        </w:rPr>
        <w:t>College offers Financial Aide and Scholarships</w:t>
      </w:r>
      <w:r w:rsidR="002731E0">
        <w:rPr>
          <w:rFonts w:ascii="Times New Roman" w:hAnsi="Times New Roman" w:cs="Times New Roman"/>
          <w:sz w:val="24"/>
          <w:szCs w:val="24"/>
        </w:rPr>
        <w:t>, and other payment plans.</w:t>
      </w:r>
      <w:r w:rsidR="00BA042B">
        <w:rPr>
          <w:rFonts w:ascii="Times New Roman" w:hAnsi="Times New Roman" w:cs="Times New Roman"/>
          <w:sz w:val="24"/>
          <w:szCs w:val="24"/>
        </w:rPr>
        <w:t xml:space="preserve"> </w:t>
      </w:r>
      <w:r w:rsidR="00E71393">
        <w:rPr>
          <w:rFonts w:ascii="Times New Roman" w:hAnsi="Times New Roman" w:cs="Times New Roman"/>
          <w:sz w:val="24"/>
          <w:szCs w:val="24"/>
        </w:rPr>
        <w:t xml:space="preserve">Here, you can find how much it cost: </w:t>
      </w:r>
      <w:hyperlink r:id="rId16" w:history="1">
        <w:r w:rsidR="00E71393" w:rsidRPr="00C821A1">
          <w:rPr>
            <w:rStyle w:val="Hyperlink"/>
            <w:rFonts w:ascii="Times New Roman" w:hAnsi="Times New Roman" w:cs="Times New Roman"/>
            <w:sz w:val="24"/>
            <w:szCs w:val="24"/>
          </w:rPr>
          <w:t>http://www.pima.edu/paying-for-school/costs/2015-tuition-in-state.html</w:t>
        </w:r>
      </w:hyperlink>
      <w:r w:rsidR="00E71393">
        <w:rPr>
          <w:rFonts w:ascii="Times New Roman" w:hAnsi="Times New Roman" w:cs="Times New Roman"/>
          <w:sz w:val="24"/>
          <w:szCs w:val="24"/>
        </w:rPr>
        <w:t xml:space="preserve"> </w:t>
      </w:r>
    </w:p>
    <w:p w:rsidR="00CE64BC" w:rsidRPr="00F539E2" w:rsidRDefault="00CA7BB0" w:rsidP="00CA7BB0">
      <w:pPr>
        <w:spacing w:line="360" w:lineRule="auto"/>
        <w:jc w:val="center"/>
        <w:rPr>
          <w:rFonts w:ascii="Times New Roman" w:hAnsi="Times New Roman" w:cs="Times New Roman"/>
          <w:color w:val="333333"/>
          <w:sz w:val="24"/>
          <w:szCs w:val="24"/>
          <w:shd w:val="clear" w:color="auto" w:fill="FFFFFF"/>
        </w:rPr>
      </w:pPr>
      <w:r>
        <w:rPr>
          <w:rFonts w:ascii="Times New Roman" w:hAnsi="Times New Roman" w:cs="Times New Roman"/>
          <w:noProof/>
          <w:color w:val="333333"/>
          <w:sz w:val="24"/>
          <w:szCs w:val="24"/>
          <w:shd w:val="clear" w:color="auto" w:fill="FFFFFF"/>
        </w:rPr>
        <w:lastRenderedPageBreak/>
        <w:drawing>
          <wp:inline distT="0" distB="0" distL="0" distR="0">
            <wp:extent cx="2004060" cy="708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logo1.png"/>
                    <pic:cNvPicPr/>
                  </pic:nvPicPr>
                  <pic:blipFill>
                    <a:blip r:embed="rId17">
                      <a:extLst>
                        <a:ext uri="{28A0092B-C50C-407E-A947-70E740481C1C}">
                          <a14:useLocalDpi xmlns:a14="http://schemas.microsoft.com/office/drawing/2010/main" val="0"/>
                        </a:ext>
                      </a:extLst>
                    </a:blip>
                    <a:stretch>
                      <a:fillRect/>
                    </a:stretch>
                  </pic:blipFill>
                  <pic:spPr>
                    <a:xfrm>
                      <a:off x="0" y="0"/>
                      <a:ext cx="2004060" cy="708660"/>
                    </a:xfrm>
                    <a:prstGeom prst="rect">
                      <a:avLst/>
                    </a:prstGeom>
                  </pic:spPr>
                </pic:pic>
              </a:graphicData>
            </a:graphic>
          </wp:inline>
        </w:drawing>
      </w:r>
    </w:p>
    <w:p w:rsidR="00DF675C" w:rsidRDefault="00180217" w:rsidP="00780AA0">
      <w:pPr>
        <w:tabs>
          <w:tab w:val="left" w:pos="6120"/>
        </w:tabs>
        <w:rPr>
          <w:rFonts w:ascii="Times New Roman" w:hAnsi="Times New Roman" w:cs="Times New Roman"/>
          <w:sz w:val="24"/>
          <w:szCs w:val="24"/>
        </w:rPr>
      </w:pPr>
      <w:r>
        <w:rPr>
          <w:rFonts w:ascii="Times New Roman" w:hAnsi="Times New Roman" w:cs="Times New Roman"/>
          <w:sz w:val="24"/>
          <w:szCs w:val="24"/>
        </w:rPr>
        <w:t xml:space="preserve">Here you can find all the courses you must take to receive your Associate of Paralegal Studies: </w:t>
      </w:r>
    </w:p>
    <w:p w:rsidR="00180217" w:rsidRPr="000A305F" w:rsidRDefault="002933DA" w:rsidP="00780AA0">
      <w:pPr>
        <w:tabs>
          <w:tab w:val="left" w:pos="6120"/>
        </w:tabs>
        <w:rPr>
          <w:rFonts w:ascii="Times New Roman" w:hAnsi="Times New Roman" w:cs="Times New Roman"/>
          <w:sz w:val="24"/>
          <w:szCs w:val="24"/>
        </w:rPr>
      </w:pPr>
      <w:hyperlink r:id="rId18" w:history="1">
        <w:r w:rsidR="00180217" w:rsidRPr="00C821A1">
          <w:rPr>
            <w:rStyle w:val="Hyperlink"/>
            <w:rFonts w:ascii="Times New Roman" w:hAnsi="Times New Roman" w:cs="Times New Roman"/>
            <w:sz w:val="24"/>
            <w:szCs w:val="24"/>
          </w:rPr>
          <w:t>http://www.pima.edu/programs-courses/credit-programs-degrees/business-careers/paralegal/paralegal-aas.html</w:t>
        </w:r>
      </w:hyperlink>
      <w:r w:rsidR="00180217">
        <w:rPr>
          <w:rFonts w:ascii="Times New Roman" w:hAnsi="Times New Roman" w:cs="Times New Roman"/>
          <w:sz w:val="24"/>
          <w:szCs w:val="24"/>
        </w:rPr>
        <w:t xml:space="preserve"> </w:t>
      </w:r>
    </w:p>
    <w:sectPr w:rsidR="00180217" w:rsidRPr="000A30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DA" w:rsidRDefault="002933DA" w:rsidP="00D55D1B">
      <w:pPr>
        <w:spacing w:after="0" w:line="240" w:lineRule="auto"/>
      </w:pPr>
      <w:r>
        <w:separator/>
      </w:r>
    </w:p>
  </w:endnote>
  <w:endnote w:type="continuationSeparator" w:id="0">
    <w:p w:rsidR="002933DA" w:rsidRDefault="002933DA" w:rsidP="00D5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DA" w:rsidRDefault="002933DA" w:rsidP="00D55D1B">
      <w:pPr>
        <w:spacing w:after="0" w:line="240" w:lineRule="auto"/>
      </w:pPr>
      <w:r>
        <w:separator/>
      </w:r>
    </w:p>
  </w:footnote>
  <w:footnote w:type="continuationSeparator" w:id="0">
    <w:p w:rsidR="002933DA" w:rsidRDefault="002933DA" w:rsidP="00D55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62EE8"/>
    <w:multiLevelType w:val="hybridMultilevel"/>
    <w:tmpl w:val="E62A9DC8"/>
    <w:lvl w:ilvl="0" w:tplc="72C0CBB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E2496"/>
    <w:multiLevelType w:val="hybridMultilevel"/>
    <w:tmpl w:val="114E214A"/>
    <w:lvl w:ilvl="0" w:tplc="06C649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C2087"/>
    <w:multiLevelType w:val="hybridMultilevel"/>
    <w:tmpl w:val="3FB436FE"/>
    <w:lvl w:ilvl="0" w:tplc="63CE6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73CBE"/>
    <w:multiLevelType w:val="hybridMultilevel"/>
    <w:tmpl w:val="EB501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112AB"/>
    <w:multiLevelType w:val="hybridMultilevel"/>
    <w:tmpl w:val="DE68C9C4"/>
    <w:lvl w:ilvl="0" w:tplc="04090015">
      <w:start w:val="1"/>
      <w:numFmt w:val="upperLetter"/>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5">
    <w:nsid w:val="78797C90"/>
    <w:multiLevelType w:val="hybridMultilevel"/>
    <w:tmpl w:val="26A8500E"/>
    <w:lvl w:ilvl="0" w:tplc="DF3CB0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0D"/>
    <w:rsid w:val="00033DBF"/>
    <w:rsid w:val="000604A2"/>
    <w:rsid w:val="00070E55"/>
    <w:rsid w:val="00076F1B"/>
    <w:rsid w:val="000A305F"/>
    <w:rsid w:val="000A307D"/>
    <w:rsid w:val="000A4860"/>
    <w:rsid w:val="000B0B69"/>
    <w:rsid w:val="000C0C92"/>
    <w:rsid w:val="000C3FBF"/>
    <w:rsid w:val="000D1927"/>
    <w:rsid w:val="0013088F"/>
    <w:rsid w:val="0013152D"/>
    <w:rsid w:val="00151F94"/>
    <w:rsid w:val="00180217"/>
    <w:rsid w:val="001A34AD"/>
    <w:rsid w:val="001B6851"/>
    <w:rsid w:val="00210D03"/>
    <w:rsid w:val="00220E26"/>
    <w:rsid w:val="00267D4C"/>
    <w:rsid w:val="002731E0"/>
    <w:rsid w:val="00275BA6"/>
    <w:rsid w:val="002933DA"/>
    <w:rsid w:val="00294292"/>
    <w:rsid w:val="002B2280"/>
    <w:rsid w:val="002F18B3"/>
    <w:rsid w:val="00367F50"/>
    <w:rsid w:val="0037453F"/>
    <w:rsid w:val="00390B50"/>
    <w:rsid w:val="003E1017"/>
    <w:rsid w:val="003E501D"/>
    <w:rsid w:val="00400C8C"/>
    <w:rsid w:val="00440094"/>
    <w:rsid w:val="004739A5"/>
    <w:rsid w:val="0048395A"/>
    <w:rsid w:val="0049021A"/>
    <w:rsid w:val="004A66B4"/>
    <w:rsid w:val="004F4217"/>
    <w:rsid w:val="004F5629"/>
    <w:rsid w:val="00535524"/>
    <w:rsid w:val="005718F8"/>
    <w:rsid w:val="005B0C4D"/>
    <w:rsid w:val="005B1F1B"/>
    <w:rsid w:val="0060785D"/>
    <w:rsid w:val="006218EC"/>
    <w:rsid w:val="00632DA7"/>
    <w:rsid w:val="00643F0C"/>
    <w:rsid w:val="006C745A"/>
    <w:rsid w:val="006E6B4D"/>
    <w:rsid w:val="006E7190"/>
    <w:rsid w:val="00771328"/>
    <w:rsid w:val="00780AA0"/>
    <w:rsid w:val="00790946"/>
    <w:rsid w:val="007938EE"/>
    <w:rsid w:val="007A0D67"/>
    <w:rsid w:val="007B3A15"/>
    <w:rsid w:val="007B47AE"/>
    <w:rsid w:val="007D12F3"/>
    <w:rsid w:val="007F100B"/>
    <w:rsid w:val="007F6FBB"/>
    <w:rsid w:val="0081119C"/>
    <w:rsid w:val="00832091"/>
    <w:rsid w:val="008770F5"/>
    <w:rsid w:val="0089007A"/>
    <w:rsid w:val="00890FD2"/>
    <w:rsid w:val="00903C9D"/>
    <w:rsid w:val="00913BB8"/>
    <w:rsid w:val="00916B5A"/>
    <w:rsid w:val="00965EAA"/>
    <w:rsid w:val="00970B6C"/>
    <w:rsid w:val="009B6F84"/>
    <w:rsid w:val="009D04AD"/>
    <w:rsid w:val="00A26BED"/>
    <w:rsid w:val="00A31A2F"/>
    <w:rsid w:val="00A40228"/>
    <w:rsid w:val="00A56F4B"/>
    <w:rsid w:val="00A7533B"/>
    <w:rsid w:val="00AB2419"/>
    <w:rsid w:val="00AD55CC"/>
    <w:rsid w:val="00AF26F5"/>
    <w:rsid w:val="00B22C94"/>
    <w:rsid w:val="00B91BF8"/>
    <w:rsid w:val="00BA042B"/>
    <w:rsid w:val="00BA7D4A"/>
    <w:rsid w:val="00BB6469"/>
    <w:rsid w:val="00BE0F0B"/>
    <w:rsid w:val="00C302A5"/>
    <w:rsid w:val="00C339EA"/>
    <w:rsid w:val="00C63F8B"/>
    <w:rsid w:val="00C83586"/>
    <w:rsid w:val="00C95218"/>
    <w:rsid w:val="00CA7BB0"/>
    <w:rsid w:val="00CB4489"/>
    <w:rsid w:val="00CC3D2E"/>
    <w:rsid w:val="00CE64BC"/>
    <w:rsid w:val="00CF1B56"/>
    <w:rsid w:val="00D03C5C"/>
    <w:rsid w:val="00D16559"/>
    <w:rsid w:val="00D3290D"/>
    <w:rsid w:val="00D40B85"/>
    <w:rsid w:val="00D55D1B"/>
    <w:rsid w:val="00DE5CC5"/>
    <w:rsid w:val="00DF675C"/>
    <w:rsid w:val="00E14093"/>
    <w:rsid w:val="00E51421"/>
    <w:rsid w:val="00E61BC7"/>
    <w:rsid w:val="00E71393"/>
    <w:rsid w:val="00EA7F4E"/>
    <w:rsid w:val="00EC102B"/>
    <w:rsid w:val="00EF783D"/>
    <w:rsid w:val="00F451CA"/>
    <w:rsid w:val="00F539E2"/>
    <w:rsid w:val="00F74142"/>
    <w:rsid w:val="00F9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5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C94"/>
    <w:rPr>
      <w:rFonts w:ascii="Tahoma" w:hAnsi="Tahoma" w:cs="Tahoma"/>
      <w:sz w:val="16"/>
      <w:szCs w:val="16"/>
    </w:rPr>
  </w:style>
  <w:style w:type="paragraph" w:styleId="ListParagraph">
    <w:name w:val="List Paragraph"/>
    <w:basedOn w:val="Normal"/>
    <w:uiPriority w:val="34"/>
    <w:qFormat/>
    <w:rsid w:val="00643F0C"/>
    <w:pPr>
      <w:ind w:left="720"/>
      <w:contextualSpacing/>
    </w:pPr>
  </w:style>
  <w:style w:type="paragraph" w:styleId="Header">
    <w:name w:val="header"/>
    <w:basedOn w:val="Normal"/>
    <w:link w:val="HeaderChar"/>
    <w:uiPriority w:val="99"/>
    <w:unhideWhenUsed/>
    <w:rsid w:val="00D55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1B"/>
  </w:style>
  <w:style w:type="paragraph" w:styleId="Footer">
    <w:name w:val="footer"/>
    <w:basedOn w:val="Normal"/>
    <w:link w:val="FooterChar"/>
    <w:uiPriority w:val="99"/>
    <w:unhideWhenUsed/>
    <w:rsid w:val="00D55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1B"/>
  </w:style>
  <w:style w:type="character" w:customStyle="1" w:styleId="Heading1Char">
    <w:name w:val="Heading 1 Char"/>
    <w:basedOn w:val="DefaultParagraphFont"/>
    <w:link w:val="Heading1"/>
    <w:uiPriority w:val="9"/>
    <w:rsid w:val="00F451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451CA"/>
    <w:pPr>
      <w:spacing w:after="0" w:line="240" w:lineRule="auto"/>
    </w:pPr>
  </w:style>
  <w:style w:type="character" w:styleId="Hyperlink">
    <w:name w:val="Hyperlink"/>
    <w:basedOn w:val="DefaultParagraphFont"/>
    <w:uiPriority w:val="99"/>
    <w:unhideWhenUsed/>
    <w:rsid w:val="005B0C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5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C94"/>
    <w:rPr>
      <w:rFonts w:ascii="Tahoma" w:hAnsi="Tahoma" w:cs="Tahoma"/>
      <w:sz w:val="16"/>
      <w:szCs w:val="16"/>
    </w:rPr>
  </w:style>
  <w:style w:type="paragraph" w:styleId="ListParagraph">
    <w:name w:val="List Paragraph"/>
    <w:basedOn w:val="Normal"/>
    <w:uiPriority w:val="34"/>
    <w:qFormat/>
    <w:rsid w:val="00643F0C"/>
    <w:pPr>
      <w:ind w:left="720"/>
      <w:contextualSpacing/>
    </w:pPr>
  </w:style>
  <w:style w:type="paragraph" w:styleId="Header">
    <w:name w:val="header"/>
    <w:basedOn w:val="Normal"/>
    <w:link w:val="HeaderChar"/>
    <w:uiPriority w:val="99"/>
    <w:unhideWhenUsed/>
    <w:rsid w:val="00D55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1B"/>
  </w:style>
  <w:style w:type="paragraph" w:styleId="Footer">
    <w:name w:val="footer"/>
    <w:basedOn w:val="Normal"/>
    <w:link w:val="FooterChar"/>
    <w:uiPriority w:val="99"/>
    <w:unhideWhenUsed/>
    <w:rsid w:val="00D55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1B"/>
  </w:style>
  <w:style w:type="character" w:customStyle="1" w:styleId="Heading1Char">
    <w:name w:val="Heading 1 Char"/>
    <w:basedOn w:val="DefaultParagraphFont"/>
    <w:link w:val="Heading1"/>
    <w:uiPriority w:val="9"/>
    <w:rsid w:val="00F451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451CA"/>
    <w:pPr>
      <w:spacing w:after="0" w:line="240" w:lineRule="auto"/>
    </w:pPr>
  </w:style>
  <w:style w:type="character" w:styleId="Hyperlink">
    <w:name w:val="Hyperlink"/>
    <w:basedOn w:val="DefaultParagraphFont"/>
    <w:uiPriority w:val="99"/>
    <w:unhideWhenUsed/>
    <w:rsid w:val="005B0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3717">
      <w:bodyDiv w:val="1"/>
      <w:marLeft w:val="0"/>
      <w:marRight w:val="0"/>
      <w:marTop w:val="0"/>
      <w:marBottom w:val="0"/>
      <w:divBdr>
        <w:top w:val="none" w:sz="0" w:space="0" w:color="auto"/>
        <w:left w:val="none" w:sz="0" w:space="0" w:color="auto"/>
        <w:bottom w:val="none" w:sz="0" w:space="0" w:color="auto"/>
        <w:right w:val="none" w:sz="0" w:space="0" w:color="auto"/>
      </w:divBdr>
    </w:div>
    <w:div w:id="948588359">
      <w:bodyDiv w:val="1"/>
      <w:marLeft w:val="0"/>
      <w:marRight w:val="0"/>
      <w:marTop w:val="0"/>
      <w:marBottom w:val="0"/>
      <w:divBdr>
        <w:top w:val="none" w:sz="0" w:space="0" w:color="auto"/>
        <w:left w:val="none" w:sz="0" w:space="0" w:color="auto"/>
        <w:bottom w:val="none" w:sz="0" w:space="0" w:color="auto"/>
        <w:right w:val="none" w:sz="0" w:space="0" w:color="auto"/>
      </w:divBdr>
    </w:div>
    <w:div w:id="1062406355">
      <w:bodyDiv w:val="1"/>
      <w:marLeft w:val="0"/>
      <w:marRight w:val="0"/>
      <w:marTop w:val="0"/>
      <w:marBottom w:val="0"/>
      <w:divBdr>
        <w:top w:val="none" w:sz="0" w:space="0" w:color="auto"/>
        <w:left w:val="none" w:sz="0" w:space="0" w:color="auto"/>
        <w:bottom w:val="none" w:sz="0" w:space="0" w:color="auto"/>
        <w:right w:val="none" w:sz="0" w:space="0" w:color="auto"/>
      </w:divBdr>
    </w:div>
    <w:div w:id="179224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pima.gov/" TargetMode="External"/><Relationship Id="rId18" Type="http://schemas.openxmlformats.org/officeDocument/2006/relationships/hyperlink" Target="http://www.pima.edu/programs-courses/credit-programs-degrees/business-careers/paralegal/paralegal-aa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ucsonrealestateappraisal.com/hom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pima.edu/paying-for-school/costs/2015-tuition-in-stat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odlegal.com/" TargetMode="External"/><Relationship Id="rId5" Type="http://schemas.openxmlformats.org/officeDocument/2006/relationships/webSettings" Target="webSettings.xml"/><Relationship Id="rId15" Type="http://schemas.openxmlformats.org/officeDocument/2006/relationships/hyperlink" Target="http://www.pima.edu/" TargetMode="External"/><Relationship Id="rId10" Type="http://schemas.openxmlformats.org/officeDocument/2006/relationships/hyperlink" Target="http://valentineandvalentin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uickfacts.census.gov/qfd/states/04/0477000.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115</cp:revision>
  <dcterms:created xsi:type="dcterms:W3CDTF">2014-04-26T23:52:00Z</dcterms:created>
  <dcterms:modified xsi:type="dcterms:W3CDTF">2014-05-17T00:26:00Z</dcterms:modified>
</cp:coreProperties>
</file>